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oter11.xml" ContentType="application/vnd.openxmlformats-officedocument.wordprocessingml.footer+xml"/>
  <Override PartName="/word/footer8.xml" ContentType="application/vnd.openxmlformats-officedocument.wordprocessingml.footer+xml"/>
  <Override PartName="/word/footer10.xml" ContentType="application/vnd.openxmlformats-officedocument.wordprocessingml.footer+xml"/>
  <Override PartName="/word/footer7.xml" ContentType="application/vnd.openxmlformats-officedocument.wordprocessingml.footer+xml"/>
  <Override PartName="/word/footer1.xml" ContentType="application/vnd.openxmlformats-officedocument.wordprocessingml.footer+xml"/>
  <Override PartName="/word/footer9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media/image1.png" ContentType="image/png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footer4.xml" ContentType="application/vnd.openxmlformats-officedocument.wordprocessingml.footer+xml"/>
  <Override PartName="/word/footer6.xml" ContentType="application/vnd.openxmlformats-officedocument.wordprocessingml.foot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 w:themeFill="background1"/>
        <w:tabs>
          <w:tab w:val="clear" w:pos="709"/>
          <w:tab w:val="left" w:pos="900" w:leader="none"/>
        </w:tabs>
        <w:spacing w:lineRule="auto" w:line="240" w:before="0" w:after="0"/>
        <w:ind w:firstLine="36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к техническим требованиям</w:t>
      </w:r>
    </w:p>
    <w:p>
      <w:pPr>
        <w:pStyle w:val="Normal"/>
        <w:shd w:val="clear" w:color="auto" w:fill="FFFFFF" w:themeFill="background1"/>
        <w:tabs>
          <w:tab w:val="clear" w:pos="709"/>
          <w:tab w:val="left" w:pos="900" w:leader="none"/>
        </w:tabs>
        <w:spacing w:lineRule="auto" w:line="240" w:before="0" w:after="0"/>
        <w:ind w:firstLine="36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hd w:val="clear" w:color="auto" w:fill="FFFFFF" w:themeFill="background1"/>
        <w:tabs>
          <w:tab w:val="clear" w:pos="709"/>
          <w:tab w:val="left" w:pos="900" w:leader="none"/>
        </w:tabs>
        <w:spacing w:lineRule="auto" w:line="240" w:before="0" w:after="0"/>
        <w:ind w:firstLin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оформлению и составлению документации по ценообразованию</w:t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nsPlusNormal1"/>
        <w:widowControl/>
        <w:tabs>
          <w:tab w:val="clear" w:pos="709"/>
          <w:tab w:val="left" w:pos="284" w:leader="none"/>
        </w:tabs>
        <w:ind w:firstLine="709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 xml:space="preserve">РАЗДЕЛ 1. Требования к оформлению и составлению сметной документации на ремонт </w:t>
      </w:r>
      <w:r>
        <w:rPr>
          <w:rFonts w:cs="Times New Roman" w:ascii="Times New Roman" w:hAnsi="Times New Roman"/>
          <w:b/>
          <w:bCs/>
          <w:sz w:val="22"/>
          <w:szCs w:val="22"/>
        </w:rPr>
        <w:t>объектов капитального строительства</w:t>
      </w:r>
      <w:r>
        <w:rPr>
          <w:rFonts w:cs="Times New Roman" w:ascii="Times New Roman" w:hAnsi="Times New Roman"/>
          <w:b/>
          <w:sz w:val="22"/>
          <w:szCs w:val="22"/>
        </w:rPr>
        <w:t xml:space="preserve"> 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284" w:leader="none"/>
          <w:tab w:val="left" w:pos="993" w:leader="none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>не допускается</w:t>
      </w:r>
      <w:r>
        <w:rPr>
          <w:rFonts w:cs="Times New Roman" w:ascii="Times New Roman" w:hAnsi="Times New Roman"/>
          <w:sz w:val="22"/>
          <w:szCs w:val="22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284" w:leader="none"/>
          <w:tab w:val="left" w:pos="993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2"/>
          <w:szCs w:val="22"/>
          <w:u w:val="single"/>
        </w:rPr>
        <w:t>должна быть не ниже 202</w:t>
      </w:r>
      <w:r>
        <w:rPr>
          <w:rFonts w:cs="Times New Roman" w:ascii="Times New Roman" w:hAnsi="Times New Roman"/>
          <w:sz w:val="22"/>
          <w:szCs w:val="22"/>
          <w:u w:val="single"/>
        </w:rPr>
        <w:t>5</w:t>
      </w:r>
      <w:r>
        <w:rPr>
          <w:rFonts w:cs="Times New Roman" w:ascii="Times New Roman" w:hAnsi="Times New Roman"/>
          <w:sz w:val="22"/>
          <w:szCs w:val="22"/>
          <w:u w:val="single"/>
        </w:rPr>
        <w:t>.0</w:t>
      </w:r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284" w:leader="none"/>
          <w:tab w:val="left" w:pos="993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284" w:leader="none"/>
          <w:tab w:val="left" w:pos="993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составлении сметной документации необходимо использовать сметно-нормативную базу ФСНБ-2022 (с Изм. 1-12</w:t>
      </w:r>
      <w:r>
        <w:rPr>
          <w:rFonts w:cs="Times New Roman" w:ascii="Times New Roman" w:hAnsi="Times New Roman"/>
          <w:b/>
          <w:sz w:val="22"/>
          <w:szCs w:val="22"/>
        </w:rPr>
        <w:t>).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</w:p>
    <w:p>
      <w:pPr>
        <w:pStyle w:val="Normal"/>
        <w:tabs>
          <w:tab w:val="clear" w:pos="709"/>
          <w:tab w:val="left" w:pos="993" w:leader="none"/>
        </w:tabs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Сметную документацию составлять </w:t>
      </w:r>
      <w:r>
        <w:rPr>
          <w:rFonts w:ascii="Times New Roman" w:hAnsi="Times New Roman"/>
          <w:u w:val="single"/>
        </w:rPr>
        <w:t>ресурсно-индексным методом</w:t>
      </w:r>
      <w:r>
        <w:rPr>
          <w:rFonts w:ascii="Times New Roman" w:hAnsi="Times New Roman"/>
        </w:rPr>
        <w:t xml:space="preserve">, сметы составлять согласно нормам действующего ценообразования с использованием сметных норм, сметных цен строительных ресурсов в базисном уровне цен с одновременным применением информации о сметных ценах, размещенной в </w:t>
      </w:r>
      <w:r>
        <w:rPr>
          <w:rFonts w:ascii="Times New Roman" w:hAnsi="Times New Roman"/>
          <w:b/>
        </w:rPr>
        <w:t>ФГИС ЦС</w:t>
      </w:r>
      <w:r>
        <w:rPr>
          <w:rFonts w:ascii="Times New Roman" w:hAnsi="Times New Roman"/>
        </w:rPr>
        <w:t xml:space="preserve">, а также индексов изменения сметной стоимости. </w:t>
      </w:r>
    </w:p>
    <w:p>
      <w:pPr>
        <w:pStyle w:val="Normal"/>
        <w:tabs>
          <w:tab w:val="clear" w:pos="709"/>
          <w:tab w:val="left" w:pos="993" w:leader="none"/>
        </w:tabs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Сметная стоимость, определенная с применением ресурсно-индексного метода, приводится в ЛСР (ЛС) в </w:t>
      </w:r>
      <w:r>
        <w:rPr>
          <w:rFonts w:ascii="Times New Roman" w:hAnsi="Times New Roman"/>
          <w:b/>
        </w:rPr>
        <w:t xml:space="preserve">текущем уровне цен на </w:t>
      </w: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й квартал 202</w:t>
      </w:r>
      <w:r>
        <w:rPr>
          <w:rFonts w:ascii="Times New Roman" w:hAnsi="Times New Roman"/>
          <w:b/>
        </w:rPr>
        <w:t>6</w:t>
      </w:r>
      <w:r>
        <w:rPr>
          <w:rFonts w:ascii="Times New Roman" w:hAnsi="Times New Roman"/>
          <w:b/>
        </w:rPr>
        <w:t xml:space="preserve"> года.</w:t>
      </w:r>
    </w:p>
    <w:p>
      <w:pPr>
        <w:pStyle w:val="Normal"/>
        <w:tabs>
          <w:tab w:val="clear" w:pos="709"/>
          <w:tab w:val="left" w:pos="993" w:leader="none"/>
        </w:tabs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отсутствия сметных цен на отдельные ресурсы в ФГИС ЦС и в сборниках сметных цен, включенных в ФРСН, цены на такие ресурсы принимаются по наиболее экономичному варианту (минимальному значению) по результатам конъюнктурного анализа, выполненного в соответствии с Приложением № 3 к  настоящим Требованиям и образцу по Приложению 1 к Методики определения сметной стоимости строительства для включения в сметную документацию.</w:t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  <w:t xml:space="preserve">  </w:t>
      </w:r>
    </w:p>
    <w:p>
      <w:pPr>
        <w:pStyle w:val="ListParagraph"/>
        <w:numPr>
          <w:ilvl w:val="0"/>
          <w:numId w:val="21"/>
        </w:numPr>
        <w:tabs>
          <w:tab w:val="clear" w:pos="709"/>
          <w:tab w:val="left" w:pos="1134" w:leader="none"/>
        </w:tabs>
        <w:ind w:left="1247" w:hanging="45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Пересчет смет составленных </w:t>
      </w:r>
      <w:r>
        <w:rPr>
          <w:rFonts w:ascii="Times New Roman" w:hAnsi="Times New Roman"/>
          <w:u w:val="single"/>
        </w:rPr>
        <w:t xml:space="preserve">ресурсно-индексным методом в уровень цен, соответствующий периоду выполнения работ, </w:t>
      </w:r>
      <w:r>
        <w:rPr>
          <w:rFonts w:ascii="Times New Roman" w:hAnsi="Times New Roman"/>
        </w:rPr>
        <w:t>производить применяя:</w:t>
      </w:r>
    </w:p>
    <w:p>
      <w:pPr>
        <w:pStyle w:val="Normal"/>
        <w:tabs>
          <w:tab w:val="clear" w:pos="709"/>
          <w:tab w:val="left" w:pos="1134" w:leader="none"/>
        </w:tabs>
        <w:ind w:firstLine="79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5.1. •</w:t>
        <w:tab/>
        <w:t xml:space="preserve">индексы </w:t>
      </w:r>
      <w:r>
        <w:rPr>
          <w:rFonts w:ascii="Times New Roman" w:hAnsi="Times New Roman"/>
          <w:b/>
        </w:rPr>
        <w:t>к отдельным строительным ресурсам</w:t>
      </w:r>
      <w:r>
        <w:rPr>
          <w:rFonts w:ascii="Times New Roman" w:hAnsi="Times New Roman"/>
        </w:rPr>
        <w:t xml:space="preserve">, индексы к группам строительных ресурсов </w:t>
      </w:r>
      <w:r>
        <w:rPr>
          <w:rFonts w:ascii="Times New Roman" w:hAnsi="Times New Roman"/>
          <w:b/>
        </w:rPr>
        <w:t xml:space="preserve">(индексы к сметной стоимости отдельных материалов, изделий, конструкций, оборудования, эксплуатации машин и механизмов или к стоимости однородных групп таких строительных ресурсов) на </w:t>
      </w: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й квартал 202</w:t>
      </w:r>
      <w:r>
        <w:rPr>
          <w:rFonts w:ascii="Times New Roman" w:hAnsi="Times New Roman"/>
          <w:b/>
        </w:rPr>
        <w:t>6</w:t>
      </w:r>
      <w:r>
        <w:rPr>
          <w:rFonts w:ascii="Times New Roman" w:hAnsi="Times New Roman"/>
          <w:b/>
        </w:rPr>
        <w:t xml:space="preserve"> года</w:t>
      </w:r>
      <w:r>
        <w:rPr>
          <w:rFonts w:ascii="Times New Roman" w:hAnsi="Times New Roman"/>
        </w:rPr>
        <w:t>;</w:t>
      </w:r>
    </w:p>
    <w:p>
      <w:pPr>
        <w:pStyle w:val="Normal"/>
        <w:tabs>
          <w:tab w:val="clear" w:pos="709"/>
          <w:tab w:val="left" w:pos="1134" w:leader="none"/>
        </w:tabs>
        <w:ind w:firstLine="79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  <w:t xml:space="preserve">индексы изменения сметных цен на </w:t>
      </w:r>
      <w:r>
        <w:rPr>
          <w:rFonts w:ascii="Times New Roman" w:hAnsi="Times New Roman"/>
          <w:b/>
        </w:rPr>
        <w:t>перевозку грузов</w:t>
      </w:r>
      <w:r>
        <w:rPr>
          <w:rFonts w:ascii="Times New Roman" w:hAnsi="Times New Roman"/>
        </w:rPr>
        <w:t xml:space="preserve"> на 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й квартал 202</w:t>
      </w:r>
      <w:r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года – применяются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>
      <w:pPr>
        <w:pStyle w:val="Normal"/>
        <w:tabs>
          <w:tab w:val="clear" w:pos="709"/>
          <w:tab w:val="left" w:pos="1134" w:leader="none"/>
        </w:tabs>
        <w:ind w:firstLine="79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  <w:t xml:space="preserve">индексы изменения сметной </w:t>
      </w:r>
      <w:r>
        <w:rPr>
          <w:rFonts w:ascii="Times New Roman" w:hAnsi="Times New Roman"/>
          <w:b/>
        </w:rPr>
        <w:t>стоимости оборудования</w:t>
      </w:r>
      <w:r>
        <w:rPr>
          <w:rFonts w:ascii="Times New Roman" w:hAnsi="Times New Roman"/>
        </w:rPr>
        <w:t xml:space="preserve"> на 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й квартал 202</w:t>
      </w:r>
      <w:r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года – применяются к сметной стоимости оборудования;</w:t>
      </w:r>
    </w:p>
    <w:p>
      <w:pPr>
        <w:pStyle w:val="Normal"/>
        <w:tabs>
          <w:tab w:val="clear" w:pos="709"/>
          <w:tab w:val="left" w:pos="1134" w:leader="none"/>
        </w:tabs>
        <w:ind w:firstLine="79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  <w:t xml:space="preserve"> индексы изменения сметной стоимости, рассчитываемые для применения к сметной стоимости отдельных видов </w:t>
      </w:r>
      <w:r>
        <w:rPr>
          <w:rFonts w:ascii="Times New Roman" w:hAnsi="Times New Roman"/>
          <w:b/>
        </w:rPr>
        <w:t xml:space="preserve">прочих работ и затрат </w:t>
      </w:r>
      <w:r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й квартал 202</w:t>
      </w:r>
      <w:r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года.</w:t>
      </w:r>
    </w:p>
    <w:p>
      <w:pPr>
        <w:pStyle w:val="Normal"/>
        <w:spacing w:before="0" w:after="0"/>
        <w:ind w:firstLine="907"/>
        <w:contextualSpacing/>
        <w:jc w:val="both"/>
        <w:rPr/>
      </w:pPr>
      <w:r>
        <w:rPr>
          <w:rFonts w:ascii="Times New Roman" w:hAnsi="Times New Roman"/>
        </w:rPr>
        <w:t xml:space="preserve">5.2. </w:t>
      </w:r>
      <w:r>
        <w:rPr>
          <w:rFonts w:ascii="Times New Roman" w:hAnsi="Times New Roman"/>
          <w:u w:val="single"/>
        </w:rPr>
        <w:t>Коэффициент инфляции на период выполнения работ</w:t>
      </w:r>
      <w:r>
        <w:rPr>
          <w:rFonts w:ascii="Times New Roman" w:hAnsi="Times New Roman"/>
        </w:rPr>
        <w:t>:</w:t>
      </w:r>
    </w:p>
    <w:p>
      <w:pPr>
        <w:pStyle w:val="Normal"/>
        <w:spacing w:before="0" w:after="0"/>
        <w:ind w:firstLine="907"/>
        <w:contextualSpacing/>
        <w:jc w:val="both"/>
        <w:rPr/>
      </w:pPr>
      <w:r>
        <w:rPr>
          <w:rFonts w:ascii="Times New Roman" w:hAnsi="Times New Roman"/>
        </w:rPr>
        <w:t>- в сметных расчетах на этап работ с планируемым периодом выполнения работ до одного календарного года и сметная документация составлена в уровне цен того же года, индекс прогнозной инфляции на один месяц осуществляется извлечением квадратного корня двенадцатой степени из индекса прогнозной инфляции Минэкономразвития России ( ИПЦ базовый, по строке - Показатели инфляции / в среднем за год ) установленного в целом за год:</w:t>
      </w:r>
    </w:p>
    <w:p>
      <w:pPr>
        <w:pStyle w:val="Normal"/>
        <w:spacing w:before="0" w:after="0"/>
        <w:ind w:firstLine="567"/>
        <w:jc w:val="center"/>
        <w:rPr>
          <w:rFonts w:ascii="Times New Roman" w:hAnsi="Times New Roman" w:eastAsia="Calibri"/>
          <w:lang w:eastAsia="en-US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К</m:t>
            </m:r>
          </m:e>
          <m:sub>
            <m:r>
              <w:rPr>
                <w:rFonts w:ascii="Cambria Math" w:hAnsi="Cambria Math"/>
              </w:rPr>
              <m:t xml:space="preserve">инфл</m:t>
            </m:r>
            <m:r>
              <w:rPr>
                <w:rFonts w:ascii="Cambria Math" w:hAnsi="Cambria Math"/>
              </w:rPr>
              <m:t xml:space="preserve">.</m:t>
            </m:r>
            <m:r>
              <w:rPr>
                <w:rFonts w:ascii="Cambria Math" w:hAnsi="Cambria Math"/>
              </w:rPr>
              <m:t xml:space="preserve">мес</m:t>
            </m:r>
          </m:sub>
        </m:sSub>
        <m:r>
          <w:rPr>
            <w:rFonts w:ascii="Cambria Math" w:hAnsi="Cambria Math"/>
          </w:rPr>
          <m:t xml:space="preserve">=</m:t>
        </m:r>
        <m:rad>
          <m:deg>
            <m:r>
              <w:rPr>
                <w:rFonts w:ascii="Cambria Math" w:hAnsi="Cambria Math"/>
              </w:rPr>
              <m:t xml:space="preserve">12</m:t>
            </m:r>
          </m:deg>
          <m:e>
            <m:sSub>
              <m:e>
                <m:r>
                  <w:rPr>
                    <w:rFonts w:ascii="Cambria Math" w:hAnsi="Cambria Math"/>
                  </w:rPr>
                  <m:t xml:space="preserve">К</m:t>
                </m:r>
              </m:e>
              <m:sub>
                <m:r>
                  <w:rPr>
                    <w:rFonts w:ascii="Cambria Math" w:hAnsi="Cambria Math"/>
                  </w:rPr>
                  <m:t xml:space="preserve">инфлгод</m:t>
                </m:r>
              </m:sub>
            </m:sSub>
          </m:e>
        </m:rad>
      </m:oMath>
      <w:r>
        <w:rPr>
          <w:rFonts w:eastAsia="Calibri" w:ascii="Times New Roman" w:hAnsi="Times New Roman"/>
          <w:lang w:eastAsia="en-US"/>
        </w:rPr>
        <w:t xml:space="preserve">     </w:t>
      </w:r>
      <w:r>
        <w:rPr>
          <w:rFonts w:eastAsia="Calibri" w:ascii="Times New Roman" w:hAnsi="Times New Roman"/>
          <w:lang w:eastAsia="en-US"/>
        </w:rPr>
        <w:t xml:space="preserve">(1)     </w:t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  <w:t xml:space="preserve">где  </w:t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  <w:t>К инфл мес – индекс прогнозной инфляции на один месяц, полученное значение округляется до 4 знаков после запятой;</w:t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  <w:t xml:space="preserve">К инфл год – индекс-дефлятор Министерства экономического развития Российской Федерации (ИПЦ базовый, по строке - Показатели инфляции / в среднем за год). </w:t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</w:r>
    </w:p>
    <w:p>
      <w:pPr>
        <w:pStyle w:val="Style33"/>
        <w:numPr>
          <w:ilvl w:val="0"/>
          <w:numId w:val="0"/>
        </w:numPr>
        <w:ind w:left="0" w:firstLine="850"/>
        <w:rPr/>
      </w:pPr>
      <w:r>
        <w:rPr/>
        <w:t>- для определения размера индекса прогнозной инфляции периодом в несколько месяцев одного года, величина индекса прогнозной инфляции на один месяц возводится в степень размер которой соответствует количеству месяцев от даты определения стоимости работ до даты окончания работ, принимается среднее значение индекса-дефлятора, между индексом прогнозной инфляции на месяц начала производства работ и индексом на месяц окончания производства работ:</w:t>
      </w:r>
    </w:p>
    <w:p>
      <w:pPr>
        <w:pStyle w:val="Style33"/>
        <w:numPr>
          <w:ilvl w:val="0"/>
          <w:numId w:val="0"/>
        </w:numPr>
        <w:ind w:left="0" w:hanging="0"/>
        <w:jc w:val="center"/>
        <w:rPr/>
      </w:pPr>
      <w:r>
        <w:rPr/>
      </w:r>
    </w:p>
    <w:p>
      <w:pPr>
        <w:pStyle w:val="Style33"/>
        <w:numPr>
          <w:ilvl w:val="0"/>
          <w:numId w:val="0"/>
        </w:numPr>
        <w:ind w:left="0" w:hanging="0"/>
        <w:jc w:val="center"/>
        <w:rPr/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И</m:t>
            </m:r>
          </m:e>
          <m:sub>
            <m:r>
              <w:rPr>
                <w:rFonts w:ascii="Cambria Math" w:hAnsi="Cambria Math"/>
              </w:rPr>
              <m:t xml:space="preserve">инфл</m:t>
            </m:r>
            <m:r>
              <w:rPr>
                <w:rFonts w:ascii="Cambria Math" w:hAnsi="Cambria Math"/>
              </w:rPr>
              <m:t xml:space="preserve">.</m:t>
            </m:r>
            <m:r>
              <w:rPr>
                <w:rFonts w:ascii="Cambria Math" w:hAnsi="Cambria Math"/>
              </w:rPr>
              <m:t xml:space="preserve">пер</m:t>
            </m:r>
            <m:r>
              <w:rPr>
                <w:rFonts w:ascii="Cambria Math" w:hAnsi="Cambria Math"/>
              </w:rPr>
              <m:t xml:space="preserve">.</m:t>
            </m:r>
          </m:sub>
        </m:sSub>
        <m:r>
          <w:rPr>
            <w:rFonts w:ascii="Cambria Math" w:hAnsi="Cambria Math"/>
          </w:rPr>
          <m:t xml:space="preserve">=</m:t>
        </m:r>
        <m:d>
          <m:dPr>
            <m:begChr m:val="("/>
            <m:endChr m:val=")"/>
          </m:dPr>
          <m:e>
            <m:f>
              <m:num>
                <m:sSub>
                  <m:e>
                    <m:r>
                      <w:rPr>
                        <w:rFonts w:ascii="Cambria Math" w:hAnsi="Cambria Math"/>
                      </w:rPr>
                      <m:t xml:space="preserve">И</m:t>
                    </m:r>
                  </m:e>
                  <m:sub>
                    <m:sSup>
                      <m:e>
                        <m:r>
                          <w:rPr>
                            <w:rFonts w:ascii="Cambria Math" w:hAnsi="Cambria Math"/>
                          </w:rPr>
                          <m:t xml:space="preserve">инфл</m:t>
                        </m:r>
                        <m:r>
                          <w:rPr>
                            <w:rFonts w:ascii="Cambria Math" w:hAnsi="Cambria Math"/>
                          </w:rPr>
                          <m:t xml:space="preserve">.</m:t>
                        </m:r>
                        <m:r>
                          <w:rPr>
                            <w:rFonts w:ascii="Cambria Math" w:hAnsi="Cambria Math"/>
                          </w:rPr>
                          <m:t xml:space="preserve">мес</m:t>
                        </m:r>
                        <m:r>
                          <w:rPr>
                            <w:rFonts w:ascii="Cambria Math" w:hAnsi="Cambria Math"/>
                          </w:rPr>
                          <m:t xml:space="preserve">.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 xml:space="preserve">n</m:t>
                        </m:r>
                      </m:sup>
                    </m:sSup>
                  </m:sub>
                </m:sSub>
                <m:r>
                  <w:rPr>
                    <w:rFonts w:ascii="Cambria Math" w:hAnsi="Cambria Math"/>
                  </w:rPr>
                  <m:t xml:space="preserve">−</m:t>
                </m:r>
                <m:r>
                  <w:rPr>
                    <w:rFonts w:ascii="Cambria Math" w:hAnsi="Cambria Math"/>
                  </w:rPr>
                  <m:t xml:space="preserve">1</m:t>
                </m:r>
              </m:num>
              <m:den>
                <m:r>
                  <w:rPr>
                    <w:rFonts w:ascii="Cambria Math" w:hAnsi="Cambria Math"/>
                  </w:rPr>
                  <m:t xml:space="preserve">2</m:t>
                </m:r>
              </m:den>
            </m:f>
          </m:e>
        </m:d>
        <m:r>
          <w:rPr>
            <w:rFonts w:ascii="Cambria Math" w:hAnsi="Cambria Math"/>
          </w:rPr>
          <m:t xml:space="preserve">+</m:t>
        </m:r>
        <m:r>
          <w:rPr>
            <w:rFonts w:ascii="Cambria Math" w:hAnsi="Cambria Math"/>
          </w:rPr>
          <m:t xml:space="preserve">1</m:t>
        </m:r>
      </m:oMath>
      <w:r>
        <w:rPr/>
        <w:t xml:space="preserve"> </w:t>
      </w:r>
      <w:r>
        <w:rPr/>
        <w:t>(2)</w:t>
      </w:r>
    </w:p>
    <w:p>
      <w:pPr>
        <w:pStyle w:val="Style33"/>
        <w:numPr>
          <w:ilvl w:val="0"/>
          <w:numId w:val="0"/>
        </w:numPr>
        <w:ind w:left="0" w:hanging="0"/>
        <w:jc w:val="center"/>
        <w:rPr/>
      </w:pPr>
      <w:r>
        <w:rPr/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  <w:t>где</w:t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  <w:t xml:space="preserve">n- период от даты определения НМЦК до даты начала/окончания работ, мес. </w:t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  <w:t>К инф пер – индекс прогнозной инфляции для периода выполнения работ, полученное значение округляется до 4 знаков после запятой.</w:t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</w:r>
    </w:p>
    <w:p>
      <w:pPr>
        <w:pStyle w:val="Style33"/>
        <w:numPr>
          <w:ilvl w:val="0"/>
          <w:numId w:val="0"/>
        </w:numPr>
        <w:ind w:left="0" w:firstLine="794"/>
        <w:rPr/>
      </w:pPr>
      <w:r>
        <w:rPr/>
        <w:t xml:space="preserve">- в случае если срок выполнения работ превышает календарный год, то индекс прогнозной инфляции для второго и последующих годов, определяется с учетом установленных договором сроков строительства по формуле: </w:t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  <w:t xml:space="preserve">       </w:t>
      </w:r>
      <w:r>
        <w:rPr/>
        <w:t>Цд=С * Иинфл     (3)</w:t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  <w:t>где</w:t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  <w:t>Цд – стоимость договора (этапа);</w:t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  <w:t xml:space="preserve">С - сметная стоимость подрядных работ, подлежащих выполнению подрядчиком; </w:t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  <w:t xml:space="preserve">Иинф – индекс инфляции, рассчитываемый по формуле: </w:t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  <w:t xml:space="preserve">      </w:t>
      </w:r>
      <w:r>
        <w:rPr/>
        <w:t>И инф = Д1*К1+Д2*К2+...+Дi*Кi</w:t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  <w:t>где</w:t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  <w:t>Д1, Д2, Дi - доля сметной стоимости работ соответственно в 1-й, 2-й, 3-й, i-ый годы строительства;</w:t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  <w:t>i - год завершения строительства объекта;</w:t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  <w:t>К1 - индекс прогнозной инфляции за первый год строительства объекта, определяемый как среднее арифметическое между индексом прогнозной инфляции на дату начала строительства объекта и индексом прогнозной инфляции на декабрь первого года строительства объекта;</w:t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  <w:t>К2 -индекс прогнозной инфляции, учитывающий инфляцию за первый и второй годы строительства объекта. Рассчитывается как произведение индекса прогнозной инфляции, устанавливаемого нарастающим итогом на декабрь первого года строительства объекта, и индекса прогнозной инфляции на второй год строительства объекта, определенного как среднее арифметическое между индексом прогнозной инфляции на январь второго года строительства объекта и индекса прогнозной инфляции на декабрь второго года строительства объекта;</w:t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  <w:t>Кi - индекс прогнозной инфляции, учитывающий инфляцию за весь период строительства объекта. Указанный индекс рассчитывается как произведение индекса прогнозной инфляции, устанавливаемого нарастающим итогом на декабрь предшествующего года строительства объекта, и индекса прогнозной инфляции на последний год строительства объекта, определенного как среднее арифметическое между индексом прогнозной инфляции на январь последнего года строительства объекта и индексом прогнозной инфляции на дату окончания строительства объекта в последнем году .</w:t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  <w:t>При этом:</w:t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  <w:t>1) если срок выполнения работ указан в целом по договору (дата начала работ – дата окончание работ), применяется единый дефлятор, в соответствии с формулой (3)</w:t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  <w:t>2) если договором предусмотрен график выполнения работ с разбивкой на этапы (дата начала работ по этапу – дата окончания работ по этапу), дефлятор применяется в соответствии с таким графиком, и рассчитывается на каждый этап, в соответствии с формулой (3).</w:t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  <w:t xml:space="preserve">     </w:t>
      </w:r>
      <w:r>
        <w:rPr/>
        <w:t xml:space="preserve">Если для определения ПЦ используется сметная документация, разработанная на основании СНБ применяемой на дату формирования ПЦ, то пересчет сметной стоимости работ в уровень цен на дату определения ПЦ осуществляется с использованием индексов изменения сметной стоимости, размещенных Минстроем России в ФРСН, действующих на дату определения ПЦ. </w:t>
      </w:r>
    </w:p>
    <w:p>
      <w:pPr>
        <w:pStyle w:val="Style33"/>
        <w:numPr>
          <w:ilvl w:val="0"/>
          <w:numId w:val="0"/>
        </w:numPr>
        <w:ind w:left="0" w:firstLine="567"/>
        <w:rPr/>
      </w:pPr>
      <w:r>
        <w:rPr/>
        <w:t xml:space="preserve">     </w:t>
      </w:r>
      <w:r>
        <w:rPr/>
        <w:t>В случае если сметная документация разработана в СНБ не применяемой на дату определения ПЦ, то пересчет сметной стоимости работ в уровень цен на дату определения ПЦ осуществляется с использованием индекса фактической инфляции (опубликованный на сайте https://www.fedstat.ru/, индексы цен на продукцию (затраты, услуги) инвестиционного назначения с 2017г., по Российской Федерации в целом, с учетом вида экономической деятельности).</w:t>
      </w:r>
    </w:p>
    <w:p>
      <w:pPr>
        <w:pStyle w:val="Style33"/>
        <w:numPr>
          <w:ilvl w:val="0"/>
          <w:numId w:val="0"/>
        </w:numPr>
        <w:ind w:left="0" w:firstLine="567"/>
        <w:rPr/>
      </w:pPr>
      <w:r>
        <w:rPr/>
      </w:r>
    </w:p>
    <w:p>
      <w:pPr>
        <w:pStyle w:val="62"/>
        <w:shd w:val="clear" w:color="auto" w:fill="auto"/>
        <w:spacing w:lineRule="auto" w:line="276"/>
        <w:ind w:firstLine="680"/>
        <w:rPr>
          <w:shd w:fill="FFFF00" w:val="clear"/>
        </w:rPr>
      </w:pPr>
      <w:r>
        <w:rPr>
          <w:shd w:fill="FFFF00" w:val="clear"/>
        </w:rPr>
      </w:r>
    </w:p>
    <w:p>
      <w:pPr>
        <w:pStyle w:val="Normal"/>
        <w:ind w:firstLine="624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Style33"/>
        <w:numPr>
          <w:ilvl w:val="0"/>
          <w:numId w:val="0"/>
        </w:numPr>
        <w:ind w:left="0" w:firstLine="680"/>
        <w:rPr/>
      </w:pPr>
      <w:r>
        <w:rPr/>
        <w:t xml:space="preserve">При расчете стоимости ресурсно-индексным методом, индекс-дефлятор учитывается в ЛС, </w:t>
      </w:r>
      <w:r>
        <w:rPr>
          <w:u w:val="single"/>
        </w:rPr>
        <w:t>коэффициентом к итогам, распространяя коэффициент к прямым затратам на все статьи.</w:t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</w:r>
    </w:p>
    <w:p>
      <w:pPr>
        <w:pStyle w:val="Style33"/>
        <w:numPr>
          <w:ilvl w:val="0"/>
          <w:numId w:val="0"/>
        </w:numPr>
        <w:ind w:left="0" w:firstLine="680"/>
        <w:rPr/>
      </w:pPr>
      <w:r>
        <w:rPr/>
        <w:t>При изменении графика производства работ по инициативе Заказчика, индексы инфляции подлежат пересчету. При внесении изменений в календарный график по инициативе Подрядчика, индекс-дефлятор не пересчитывается.</w:t>
      </w:r>
    </w:p>
    <w:p>
      <w:pPr>
        <w:pStyle w:val="Style33"/>
        <w:numPr>
          <w:ilvl w:val="0"/>
          <w:numId w:val="0"/>
        </w:numPr>
        <w:ind w:left="0" w:hanging="0"/>
        <w:rPr/>
      </w:pPr>
      <w:r>
        <w:rPr/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 xml:space="preserve">В случае </w:t>
      </w:r>
      <w:r>
        <w:rPr>
          <w:rFonts w:cs="Times New Roman" w:ascii="Times New Roman" w:hAnsi="Times New Roman"/>
          <w:i/>
          <w:sz w:val="22"/>
          <w:szCs w:val="22"/>
        </w:rPr>
        <w:t>отсутствия</w:t>
      </w:r>
      <w:r>
        <w:rPr>
          <w:rFonts w:cs="Times New Roman" w:ascii="Times New Roman" w:hAnsi="Times New Roman"/>
          <w:sz w:val="22"/>
          <w:szCs w:val="22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труда 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Транспортные затраты определяются следующими методами:</w:t>
      </w:r>
    </w:p>
    <w:p>
      <w:pPr>
        <w:pStyle w:val="ConsPlusNormal1"/>
        <w:widowControl/>
        <w:tabs>
          <w:tab w:val="clear" w:pos="709"/>
          <w:tab w:val="left" w:pos="1134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10.1. </w:t>
      </w:r>
      <w:r>
        <w:rPr>
          <w:rFonts w:cs="Times New Roman" w:ascii="Times New Roman" w:hAnsi="Times New Roman"/>
          <w:b/>
          <w:sz w:val="22"/>
          <w:szCs w:val="22"/>
        </w:rPr>
        <w:t>по доставке материальных ресурсов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</w:p>
    <w:p>
      <w:pPr>
        <w:pStyle w:val="ConsPlusNormal1"/>
        <w:widowControl/>
        <w:numPr>
          <w:ilvl w:val="0"/>
          <w:numId w:val="13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материальных ресурсов.</w:t>
      </w:r>
    </w:p>
    <w:p>
      <w:pPr>
        <w:pStyle w:val="ConsPlusNormal1"/>
        <w:tabs>
          <w:tab w:val="clear" w:pos="709"/>
          <w:tab w:val="left" w:pos="1134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10.2.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cs="Times New Roman" w:ascii="Times New Roman" w:hAnsi="Times New Roman"/>
          <w:b/>
          <w:bCs/>
          <w:sz w:val="22"/>
          <w:szCs w:val="22"/>
        </w:rPr>
        <w:t>по доставке оборудования</w:t>
      </w:r>
      <w:r>
        <w:rPr>
          <w:rFonts w:cs="Times New Roman" w:ascii="Times New Roman" w:hAnsi="Times New Roman"/>
          <w:sz w:val="22"/>
          <w:szCs w:val="22"/>
        </w:rPr>
        <w:t>:</w:t>
      </w:r>
    </w:p>
    <w:p>
      <w:pPr>
        <w:pStyle w:val="ConsPlusNormal1"/>
        <w:widowControl/>
        <w:numPr>
          <w:ilvl w:val="0"/>
          <w:numId w:val="13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>по наиболее экономичному варианту (минимальному значению) по результатам конъюнктурного анализа, выполненного в соответствии с Приложением № 3 к  настоящим Требованиям и образцу по Приложению 1 к Методики определения сметной стоимости</w:t>
      </w:r>
      <w:r>
        <w:rPr>
          <w:rFonts w:cs="Times New Roman" w:ascii="Times New Roman" w:hAnsi="Times New Roman"/>
          <w:sz w:val="22"/>
          <w:szCs w:val="22"/>
        </w:rPr>
        <w:t>;;</w:t>
      </w:r>
    </w:p>
    <w:p>
      <w:pPr>
        <w:pStyle w:val="ConsPlusNormal1"/>
        <w:numPr>
          <w:ilvl w:val="0"/>
          <w:numId w:val="13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tabs>
          <w:tab w:val="clear" w:pos="709"/>
          <w:tab w:val="left" w:pos="567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ConsPlusNormal1"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ConsPlusNormal1"/>
        <w:numPr>
          <w:ilvl w:val="0"/>
          <w:numId w:val="14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2% - для материальных ресурсов (кроме металлоконструкций);</w:t>
      </w:r>
    </w:p>
    <w:p>
      <w:pPr>
        <w:pStyle w:val="ConsPlusNormal1"/>
        <w:numPr>
          <w:ilvl w:val="0"/>
          <w:numId w:val="14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0,75% - для металлоконструкций;</w:t>
      </w:r>
    </w:p>
    <w:p>
      <w:pPr>
        <w:pStyle w:val="ConsPlusNormal1"/>
        <w:numPr>
          <w:ilvl w:val="0"/>
          <w:numId w:val="14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1,2% - для оборудования.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 xml:space="preserve">Затраты на эксплуатацию строительной техники, не учтенной нормами и расценками, включенными в ФРСН, определяются </w:t>
      </w:r>
      <w:r>
        <w:rPr>
          <w:rFonts w:ascii="Times New Roman" w:hAnsi="Times New Roman"/>
        </w:rPr>
        <w:t>по наиболее экономичному варианту (минимальному значению) по результатам конъюнктурного анализа, выполненного в соответствии с Приложением № 3 к  настоящим Требованиям и образцу по Приложению 1 к Методики определения сметной стоимости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color w:val="000000"/>
          <w:sz w:val="22"/>
          <w:szCs w:val="22"/>
        </w:rPr>
        <w:t>и учитываются в Главе 9 Сводного сметного расчета стоимости строительства (далее - ССРСС).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rFonts w:cs="Times New Roman" w:ascii="Times New Roman" w:hAnsi="Times New Roman"/>
          <w:color w:val="FF0000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cs="Times New Roman" w:ascii="Times New Roman" w:hAnsi="Times New Roman"/>
          <w:color w:val="000000"/>
          <w:sz w:val="22"/>
          <w:szCs w:val="22"/>
        </w:rPr>
        <w:t>применении коэффициенты перемножаются, результат округляется до семи знаков после запятой.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ЛСР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cs="Times New Roman" w:ascii="Times New Roman" w:hAnsi="Times New Roman"/>
          <w:sz w:val="22"/>
          <w:szCs w:val="22"/>
          <w:lang w:val="en-US"/>
        </w:rPr>
        <w:t>VII</w:t>
      </w:r>
      <w:r>
        <w:rPr>
          <w:rFonts w:cs="Times New Roman" w:ascii="Times New Roman" w:hAnsi="Times New Roman"/>
          <w:sz w:val="22"/>
          <w:szCs w:val="22"/>
        </w:rPr>
        <w:t xml:space="preserve">. Методики определения сметной стоимости строительства: </w:t>
      </w:r>
    </w:p>
    <w:p>
      <w:pPr>
        <w:pStyle w:val="ConsPlusNormal1"/>
        <w:numPr>
          <w:ilvl w:val="0"/>
          <w:numId w:val="11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numPr>
          <w:ilvl w:val="0"/>
          <w:numId w:val="11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</w:t>
      </w:r>
    </w:p>
    <w:p>
      <w:pPr>
        <w:pStyle w:val="ConsPlusNormal1"/>
        <w:tabs>
          <w:tab w:val="clear" w:pos="709"/>
          <w:tab w:val="left" w:pos="567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 Данные работы оформляются отдельными локальными сметами в соответствии </w:t>
      </w:r>
      <w:r>
        <w:rPr>
          <w:rFonts w:cs="Times New Roman" w:ascii="Times New Roman" w:hAnsi="Times New Roman"/>
          <w:color w:val="000000"/>
          <w:sz w:val="22"/>
          <w:szCs w:val="22"/>
        </w:rPr>
        <w:t>с Приложением №1.5 к настоящим  Требованиям и включаются в ССРСС.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ЛС на ПНР коэффициенты, учитывающие условия производства работ, начисляются только на те этапы работ, которые фактически производятся в данных условиях. Долю работ в общих затратах, для начисления коэффициента, принимать в соответствии со структурой пусконаладочных работ, приведенной в Общих положениях сборников на ПНР.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Стоимость шеф - монтажных и шеф - наладочных работ включается в сметную стоимость оборудования и может определяться отдельными расчетами.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(</w:t>
      </w:r>
      <w:r>
        <w:rPr>
          <w:rFonts w:cs="Times New Roman" w:ascii="Times New Roman" w:hAnsi="Times New Roman"/>
          <w:color w:val="000000"/>
          <w:sz w:val="22"/>
          <w:szCs w:val="22"/>
        </w:rPr>
        <w:t>образец формы расчета представлен в Приложении № 2 к настоящим Требованиям).</w:t>
      </w:r>
      <w:r>
        <w:rPr>
          <w:rFonts w:cs="Times New Roman" w:ascii="Times New Roman" w:hAnsi="Times New Roman"/>
          <w:sz w:val="22"/>
          <w:szCs w:val="22"/>
        </w:rPr>
        <w:t xml:space="preserve"> Участник (подрядчик, контрагент) представляет смету на шеф-монтажные работы в соответствии с графиком выполнения работ.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определяется в соответствии с законодательством РФ и с учетом норм, определяемых внутренним документом организации. </w:t>
      </w:r>
    </w:p>
    <w:p>
      <w:pPr>
        <w:pStyle w:val="ConsPlusNormal1"/>
        <w:widowControl/>
        <w:tabs>
          <w:tab w:val="clear" w:pos="709"/>
          <w:tab w:val="left" w:pos="567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Лимиты командировочных расходов при производстве СМР и ПНР по статьям затрат следующие:</w:t>
      </w:r>
    </w:p>
    <w:p>
      <w:pPr>
        <w:pStyle w:val="ConsPlusNormal1"/>
        <w:numPr>
          <w:ilvl w:val="0"/>
          <w:numId w:val="8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суточные – 700 руб./сутки;</w:t>
      </w:r>
    </w:p>
    <w:p>
      <w:pPr>
        <w:pStyle w:val="ConsPlusNormal1"/>
        <w:numPr>
          <w:ilvl w:val="0"/>
          <w:numId w:val="8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проживание – 500 руб./сутки;</w:t>
      </w:r>
    </w:p>
    <w:p>
      <w:pPr>
        <w:pStyle w:val="ConsPlusNormal1"/>
        <w:numPr>
          <w:ilvl w:val="0"/>
          <w:numId w:val="8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b/>
          <w:i/>
          <w:i/>
          <w:color w:val="000000" w:themeColor="text1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bookmarkStart w:id="0" w:name="_Ref19086149"/>
      <w:r>
        <w:rPr>
          <w:rFonts w:cs="Times New Roman" w:ascii="Times New Roman" w:hAnsi="Times New Roman"/>
          <w:sz w:val="22"/>
          <w:szCs w:val="22"/>
        </w:rPr>
        <w:t xml:space="preserve">В локальных сметных расчетах построчные и итоговые суммы 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>округлять:</w:t>
      </w:r>
      <w:bookmarkEnd w:id="0"/>
    </w:p>
    <w:p>
      <w:pPr>
        <w:pStyle w:val="ConsPlusNormal1"/>
        <w:numPr>
          <w:ilvl w:val="0"/>
          <w:numId w:val="12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</w:t>
      </w:r>
      <w:r>
        <w:rPr>
          <w:rFonts w:cs="Times New Roman" w:ascii="Times New Roman" w:hAnsi="Times New Roman"/>
          <w:sz w:val="22"/>
          <w:szCs w:val="22"/>
          <w:u w:val="single"/>
        </w:rPr>
        <w:t>ресурсно-индексном</w:t>
      </w:r>
      <w:r>
        <w:rPr>
          <w:rFonts w:cs="Times New Roman" w:ascii="Times New Roman" w:hAnsi="Times New Roman"/>
          <w:sz w:val="22"/>
          <w:szCs w:val="22"/>
        </w:rPr>
        <w:t xml:space="preserve"> методе, а также в сметных расчетах на </w:t>
      </w:r>
      <w:r>
        <w:rPr>
          <w:rFonts w:cs="Times New Roman" w:ascii="Times New Roman" w:hAnsi="Times New Roman"/>
          <w:sz w:val="22"/>
          <w:szCs w:val="22"/>
          <w:u w:val="single"/>
        </w:rPr>
        <w:t>отдельные виды затрат</w:t>
      </w:r>
      <w:r>
        <w:rPr>
          <w:rFonts w:cs="Times New Roman" w:ascii="Times New Roman" w:hAnsi="Times New Roman"/>
          <w:sz w:val="22"/>
          <w:szCs w:val="22"/>
        </w:rPr>
        <w:t xml:space="preserve"> - </w:t>
      </w:r>
      <w:r>
        <w:rPr>
          <w:rFonts w:cs="Times New Roman" w:ascii="Times New Roman" w:hAnsi="Times New Roman"/>
          <w:b/>
          <w:sz w:val="22"/>
          <w:szCs w:val="22"/>
        </w:rPr>
        <w:t>в рублях</w:t>
      </w:r>
      <w:r>
        <w:rPr>
          <w:rFonts w:cs="Times New Roman" w:ascii="Times New Roman" w:hAnsi="Times New Roman"/>
          <w:sz w:val="22"/>
          <w:szCs w:val="22"/>
        </w:rPr>
        <w:t xml:space="preserve"> с округлением до двух знаков после запятой (до копеек);</w:t>
      </w:r>
    </w:p>
    <w:p>
      <w:pPr>
        <w:pStyle w:val="ConsPlusNormal1"/>
        <w:numPr>
          <w:ilvl w:val="0"/>
          <w:numId w:val="12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cs="Times New Roman" w:ascii="Times New Roman" w:hAnsi="Times New Roman"/>
          <w:b/>
          <w:sz w:val="22"/>
          <w:szCs w:val="22"/>
        </w:rPr>
        <w:t>рублях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>до двух знаков</w:t>
      </w:r>
      <w:r>
        <w:rPr>
          <w:rFonts w:cs="Times New Roman" w:ascii="Times New Roman" w:hAnsi="Times New Roman"/>
          <w:sz w:val="22"/>
          <w:szCs w:val="22"/>
        </w:rPr>
        <w:t xml:space="preserve"> после запятой. Величину НДС не указывать.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Выходные формы сметных расчетов должны соответствовать Образцам по приложениям 1.5 настоящих Требований. 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  <w:tab w:val="left" w:pos="1134" w:leader="none"/>
        </w:tabs>
        <w:spacing w:lineRule="auto" w:line="240" w:before="40" w:after="40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предоставления Заказчиком услуг, указанных в разделе Технических требований «Иные условия поставки товаров, выполнения работ, оказания услуг»:</w:t>
      </w:r>
    </w:p>
    <w:p>
      <w:pPr>
        <w:pStyle w:val="Normal"/>
        <w:numPr>
          <w:ilvl w:val="1"/>
          <w:numId w:val="3"/>
        </w:numPr>
        <w:tabs>
          <w:tab w:val="clear" w:pos="709"/>
          <w:tab w:val="left" w:pos="567" w:leader="none"/>
          <w:tab w:val="left" w:pos="851" w:leader="none"/>
          <w:tab w:val="left" w:pos="993" w:leader="none"/>
          <w:tab w:val="left" w:pos="1134" w:leader="none"/>
        </w:tabs>
        <w:spacing w:lineRule="auto" w:line="240" w:before="40" w:after="40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Из норм и расценок, внесенных в ФРСН, при составлении сметной документации исключать затраты:</w:t>
      </w:r>
    </w:p>
    <w:p>
      <w:pPr>
        <w:pStyle w:val="Normal"/>
        <w:numPr>
          <w:ilvl w:val="2"/>
          <w:numId w:val="3"/>
        </w:numPr>
        <w:tabs>
          <w:tab w:val="clear" w:pos="709"/>
          <w:tab w:val="left" w:pos="567" w:leader="none"/>
          <w:tab w:val="left" w:pos="993" w:leader="none"/>
          <w:tab w:val="left" w:pos="1134" w:leader="none"/>
        </w:tabs>
        <w:spacing w:lineRule="auto" w:line="240" w:before="40" w:after="40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предоставляемой электроэнергии (в том числе, в составе стоимости машино-часа):</w:t>
      </w:r>
    </w:p>
    <w:p>
      <w:pPr>
        <w:pStyle w:val="Normal"/>
        <w:numPr>
          <w:ilvl w:val="0"/>
          <w:numId w:val="15"/>
        </w:numPr>
        <w:tabs>
          <w:tab w:val="clear" w:pos="709"/>
          <w:tab w:val="left" w:pos="567" w:leader="none"/>
          <w:tab w:val="left" w:pos="993" w:leader="none"/>
          <w:tab w:val="left" w:pos="1134" w:leader="none"/>
          <w:tab w:val="left" w:pos="1701" w:leader="none"/>
        </w:tabs>
        <w:spacing w:lineRule="auto" w:line="240" w:before="40" w:after="40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Рассчитанная сумма возврата стоимости электрической энергии (со знаком «–») учитывается в последней главе ССРСС,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>
        <w:rPr>
          <w:rStyle w:val="FootnoteReference"/>
          <w:rFonts w:ascii="Times New Roman" w:hAnsi="Times New Roman"/>
        </w:rPr>
        <w:footnoteReference w:id="2"/>
      </w:r>
      <w:r>
        <w:rPr>
          <w:rFonts w:ascii="Times New Roman" w:hAnsi="Times New Roman"/>
        </w:rPr>
        <w:t xml:space="preserve">. </w:t>
      </w:r>
    </w:p>
    <w:p>
      <w:pPr>
        <w:pStyle w:val="Normal"/>
        <w:numPr>
          <w:ilvl w:val="0"/>
          <w:numId w:val="15"/>
        </w:numPr>
        <w:tabs>
          <w:tab w:val="clear" w:pos="709"/>
          <w:tab w:val="left" w:pos="567" w:leader="none"/>
          <w:tab w:val="left" w:pos="993" w:leader="none"/>
          <w:tab w:val="left" w:pos="1134" w:leader="none"/>
          <w:tab w:val="left" w:pos="1701" w:leader="none"/>
        </w:tabs>
        <w:spacing w:lineRule="auto" w:line="240" w:before="40" w:after="40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Индекс пересчета в текущие цены применять аналогичный примененному в сметной документации.</w:t>
      </w:r>
    </w:p>
    <w:p>
      <w:pPr>
        <w:pStyle w:val="Normal"/>
        <w:numPr>
          <w:ilvl w:val="0"/>
          <w:numId w:val="15"/>
        </w:numPr>
        <w:tabs>
          <w:tab w:val="clear" w:pos="709"/>
          <w:tab w:val="left" w:pos="567" w:leader="none"/>
          <w:tab w:val="left" w:pos="993" w:leader="none"/>
          <w:tab w:val="left" w:pos="1134" w:leader="none"/>
          <w:tab w:val="left" w:pos="1701" w:leader="none"/>
        </w:tabs>
        <w:spacing w:lineRule="auto" w:line="240" w:before="40" w:after="40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>
      <w:pPr>
        <w:pStyle w:val="Normal"/>
        <w:numPr>
          <w:ilvl w:val="2"/>
          <w:numId w:val="3"/>
        </w:numPr>
        <w:tabs>
          <w:tab w:val="clear" w:pos="709"/>
          <w:tab w:val="left" w:pos="567" w:leader="none"/>
          <w:tab w:val="left" w:pos="993" w:leader="none"/>
          <w:tab w:val="left" w:pos="1134" w:leader="none"/>
        </w:tabs>
        <w:spacing w:lineRule="auto" w:line="240" w:before="40" w:after="40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предоставляемому сжатому воздуху:</w:t>
      </w:r>
    </w:p>
    <w:p>
      <w:pPr>
        <w:pStyle w:val="Normal"/>
        <w:numPr>
          <w:ilvl w:val="0"/>
          <w:numId w:val="16"/>
        </w:numPr>
        <w:tabs>
          <w:tab w:val="clear" w:pos="709"/>
          <w:tab w:val="left" w:pos="567" w:leader="none"/>
          <w:tab w:val="left" w:pos="993" w:leader="none"/>
          <w:tab w:val="left" w:pos="1701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 норм и расценок исключать стоимость компрессоров. </w:t>
      </w:r>
    </w:p>
    <w:p>
      <w:pPr>
        <w:pStyle w:val="Normal"/>
        <w:numPr>
          <w:ilvl w:val="2"/>
          <w:numId w:val="3"/>
        </w:numPr>
        <w:tabs>
          <w:tab w:val="clear" w:pos="709"/>
          <w:tab w:val="left" w:pos="1134" w:leader="none"/>
        </w:tabs>
        <w:spacing w:lineRule="auto" w:line="240" w:before="40" w:after="40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Учтенные в составе накладных расходов: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9"/>
          <w:tab w:val="left" w:pos="1701" w:leader="none"/>
        </w:tabs>
        <w:spacing w:lineRule="auto" w:line="240" w:before="40" w:after="40"/>
        <w:ind w:left="1701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расходы по обеспечению санитарно-гигиенических и бытовых условий (удельный вес статьи затрат в накладных расходах - 3,02%);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9"/>
          <w:tab w:val="left" w:pos="1701" w:leader="none"/>
        </w:tabs>
        <w:spacing w:lineRule="auto" w:line="240" w:before="40" w:after="40"/>
        <w:ind w:left="1701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содержание пожарной и сторожевой охраны (удельный вес статьи затрат в накладных расходах -2,01%);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9"/>
          <w:tab w:val="left" w:pos="1701" w:leader="none"/>
        </w:tabs>
        <w:spacing w:lineRule="auto" w:line="240" w:before="40" w:after="40"/>
        <w:ind w:left="1701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расходы по благоустройству и содержанию строительных площадок (удельный вес статьи затрат в накладных расходах -1,61%) исключаются путем применения понижающего коэффициента к нормативам накладных расходов на строительные работы в размере 0,93</w:t>
      </w:r>
      <w:r>
        <w:rPr>
          <w:rStyle w:val="FootnoteReference"/>
          <w:rFonts w:ascii="Times New Roman" w:hAnsi="Times New Roman"/>
        </w:rPr>
        <w:footnoteReference w:id="3"/>
      </w:r>
      <w:r>
        <w:rPr>
          <w:rFonts w:ascii="Times New Roman" w:hAnsi="Times New Roman"/>
        </w:rPr>
        <w:t>. Понижающий коэффициент не 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</w:p>
    <w:p>
      <w:pPr>
        <w:pStyle w:val="ConsPlusNormal1"/>
        <w:widowControl/>
        <w:tabs>
          <w:tab w:val="clear" w:pos="709"/>
          <w:tab w:val="left" w:pos="567" w:leader="none"/>
          <w:tab w:val="left" w:pos="993" w:leader="none"/>
        </w:tabs>
        <w:spacing w:before="40" w:after="40"/>
        <w:ind w:left="709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1134" w:leader="none"/>
          <w:tab w:val="left" w:pos="1418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ab/>
        <w:t>При наличии двух и более сметных расчетов составлять ССР в текущем уровне цен по форме Приложения № 1.1 к настоящим Требованиям.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Сметная документация должна быть представлена в двух вариантах: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бумажном носителе (количество указано в конкурсной документации);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электронном носителе (в форматах «</w:t>
      </w:r>
      <w:r>
        <w:rPr>
          <w:rFonts w:cs="Times New Roman" w:ascii="Times New Roman" w:hAnsi="Times New Roman"/>
          <w:sz w:val="22"/>
          <w:szCs w:val="22"/>
          <w:lang w:val="en-US"/>
        </w:rPr>
        <w:t>xml</w:t>
      </w:r>
      <w:r>
        <w:rPr>
          <w:rFonts w:cs="Times New Roman" w:ascii="Times New Roman" w:hAnsi="Times New Roman"/>
          <w:sz w:val="22"/>
          <w:szCs w:val="22"/>
        </w:rPr>
        <w:t>»,</w:t>
      </w:r>
      <w:r>
        <w:rPr>
          <w:rFonts w:cs="Times New Roman" w:ascii="Times New Roman" w:hAnsi="Times New Roman"/>
          <w:color w:val="2E74B5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ПК «Гранд-Смета», «Excel», «</w:t>
      </w:r>
      <w:r>
        <w:rPr>
          <w:rFonts w:cs="Times New Roman" w:ascii="Times New Roman" w:hAnsi="Times New Roman"/>
          <w:sz w:val="22"/>
          <w:szCs w:val="22"/>
          <w:lang w:val="en-US"/>
        </w:rPr>
        <w:t>pdf</w:t>
      </w:r>
      <w:r>
        <w:rPr>
          <w:rFonts w:cs="Times New Roman" w:ascii="Times New Roman" w:hAnsi="Times New Roman"/>
          <w:sz w:val="22"/>
          <w:szCs w:val="22"/>
        </w:rPr>
        <w:t>»), полностью соответствующему бумажному варианту;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сметная документация в формате «Exce</w:t>
      </w:r>
      <w:r>
        <w:rPr>
          <w:rFonts w:cs="Times New Roman" w:ascii="Times New Roman" w:hAnsi="Times New Roman"/>
          <w:sz w:val="22"/>
          <w:szCs w:val="22"/>
          <w:lang w:val="en-US"/>
        </w:rPr>
        <w:t>l</w:t>
      </w:r>
      <w:r>
        <w:rPr>
          <w:rFonts w:cs="Times New Roman" w:ascii="Times New Roman" w:hAnsi="Times New Roman"/>
          <w:sz w:val="22"/>
          <w:szCs w:val="22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 формате ПК «Гранд-смета» выходная форма для печати указана ниже: </w:t>
      </w:r>
    </w:p>
    <w:tbl>
      <w:tblPr>
        <w:tblStyle w:val="affff7"/>
        <w:tblW w:w="9204" w:type="dxa"/>
        <w:jc w:val="left"/>
        <w:tblInd w:w="82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lastRow="0" w:firstRow="1" w:lastColumn="0" w:firstColumn="1" w:val="04a0" w:noHBand="0" w:noVBand="1"/>
      </w:tblPr>
      <w:tblGrid>
        <w:gridCol w:w="4879"/>
        <w:gridCol w:w="4324"/>
      </w:tblGrid>
      <w:tr>
        <w:trPr/>
        <w:tc>
          <w:tcPr>
            <w:tcW w:w="4879" w:type="dxa"/>
            <w:tcBorders/>
          </w:tcPr>
          <w:p>
            <w:pPr>
              <w:pStyle w:val="ConsPlusNormal1"/>
              <w:widowControl w:val="false"/>
              <w:suppressAutoHyphens w:val="true"/>
              <w:spacing w:before="40" w:after="40"/>
              <w:ind w:hang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2961005" cy="4072255"/>
                  <wp:effectExtent l="0" t="0" r="0" b="0"/>
                  <wp:wrapSquare wrapText="largest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1005" cy="4072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24" w:type="dxa"/>
            <w:tcBorders/>
          </w:tcPr>
          <w:p>
            <w:pPr>
              <w:pStyle w:val="ConsPlusNormal1"/>
              <w:widowControl w:val="false"/>
              <w:suppressAutoHyphens w:val="true"/>
              <w:spacing w:before="40" w:after="40"/>
              <w:ind w:hang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</w:tbl>
    <w:p>
      <w:pPr>
        <w:pStyle w:val="ConsPlusNormal1"/>
        <w:widowControl/>
        <w:spacing w:before="40" w:after="40"/>
        <w:ind w:left="709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ind w:left="5812" w:hanging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1 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</w:rPr>
        <w:t>к Требованиям к оформлению и составлению документации по ценообразованию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к договорам на реконструкцию, техническое перевооружение и ремонт и дополнительным соглашениям к указанным договорам.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numPr>
          <w:ilvl w:val="0"/>
          <w:numId w:val="9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Arial"/>
          <w:color w:val="000000"/>
          <w:szCs w:val="20"/>
        </w:rPr>
      </w:pPr>
      <w:r>
        <w:rPr>
          <w:rFonts w:cs="Arial" w:ascii="Times New Roman" w:hAnsi="Times New Roman"/>
          <w:color w:val="000000"/>
          <w:szCs w:val="20"/>
        </w:rPr>
        <w:t xml:space="preserve">При наличии двух и более сметных расчетов составлять ССРСС в текущем уровне цен по форме Приложения </w:t>
      </w:r>
      <w:r>
        <w:rPr>
          <w:rFonts w:ascii="Times New Roman" w:hAnsi="Times New Roman"/>
          <w:color w:val="000000"/>
        </w:rPr>
        <w:t xml:space="preserve">№ 1.1 к </w:t>
      </w:r>
      <w:r>
        <w:rPr>
          <w:rFonts w:cs="Arial" w:ascii="Times New Roman" w:hAnsi="Times New Roman"/>
          <w:color w:val="000000"/>
        </w:rPr>
        <w:t xml:space="preserve">Требованиям к оформлению и составлению </w:t>
      </w:r>
      <w:r>
        <w:rPr>
          <w:rFonts w:ascii="Times New Roman" w:hAnsi="Times New Roman"/>
          <w:color w:val="000000"/>
        </w:rPr>
        <w:t>документации  по ценообразованию по образцу.</w:t>
      </w:r>
    </w:p>
    <w:p>
      <w:pPr>
        <w:pStyle w:val="Normal"/>
        <w:numPr>
          <w:ilvl w:val="0"/>
          <w:numId w:val="9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Arial"/>
          <w:color w:val="000000"/>
          <w:szCs w:val="20"/>
        </w:rPr>
      </w:pPr>
      <w:r>
        <w:rPr>
          <w:rFonts w:cs="Arial" w:ascii="Times New Roman" w:hAnsi="Times New Roman"/>
          <w:color w:val="000000"/>
          <w:szCs w:val="20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</w:t>
      </w:r>
      <w:r>
        <w:rPr>
          <w:rFonts w:ascii="Times New Roman" w:hAnsi="Times New Roman"/>
          <w:color w:val="000000"/>
        </w:rPr>
        <w:t>ЛСР (</w:t>
      </w:r>
      <w:r>
        <w:rPr>
          <w:rFonts w:cs="Arial" w:ascii="Times New Roman" w:hAnsi="Times New Roman"/>
          <w:color w:val="000000"/>
          <w:szCs w:val="20"/>
        </w:rPr>
        <w:t xml:space="preserve">ЛС) к основному договору и ко всем заключенным д/с к нему. В итогах ССРСС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ССРСС очередного д/с и стоимостью основного договора. Форма ССРСС с учетом заключения д/с к договору приведена в Приложении </w:t>
      </w:r>
      <w:r>
        <w:rPr>
          <w:rFonts w:ascii="Times New Roman" w:hAnsi="Times New Roman"/>
          <w:color w:val="000000"/>
        </w:rPr>
        <w:t xml:space="preserve">№ 1.2 к </w:t>
      </w:r>
      <w:r>
        <w:rPr>
          <w:rFonts w:cs="Arial" w:ascii="Times New Roman" w:hAnsi="Times New Roman"/>
          <w:color w:val="000000"/>
        </w:rPr>
        <w:t xml:space="preserve">Требованиям к оформлению и составлению </w:t>
      </w:r>
      <w:r>
        <w:rPr>
          <w:rFonts w:ascii="Times New Roman" w:hAnsi="Times New Roman"/>
          <w:color w:val="000000"/>
        </w:rPr>
        <w:t xml:space="preserve">документации по ценообразованию. </w:t>
      </w:r>
    </w:p>
    <w:p>
      <w:pPr>
        <w:pStyle w:val="Normal"/>
        <w:numPr>
          <w:ilvl w:val="0"/>
          <w:numId w:val="9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Arial"/>
          <w:color w:val="000000"/>
          <w:szCs w:val="20"/>
        </w:rPr>
      </w:pPr>
      <w:r>
        <w:rPr>
          <w:rFonts w:cs="Arial" w:ascii="Times New Roman" w:hAnsi="Times New Roman"/>
          <w:color w:val="000000"/>
          <w:szCs w:val="20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ascii="Times New Roman" w:hAnsi="Times New Roman"/>
          <w:color w:val="000000"/>
        </w:rPr>
        <w:t xml:space="preserve">к Требованиям </w:t>
      </w:r>
      <w:r>
        <w:rPr>
          <w:rFonts w:cs="Arial" w:ascii="Times New Roman" w:hAnsi="Times New Roman"/>
          <w:color w:val="000000"/>
          <w:szCs w:val="20"/>
        </w:rPr>
        <w:t xml:space="preserve">к оформлению и составлению </w:t>
      </w:r>
      <w:r>
        <w:rPr>
          <w:rFonts w:ascii="Times New Roman" w:hAnsi="Times New Roman"/>
          <w:color w:val="000000"/>
        </w:rPr>
        <w:t xml:space="preserve">документации  по ценообразованию. </w:t>
      </w:r>
    </w:p>
    <w:p>
      <w:pPr>
        <w:pStyle w:val="Normal"/>
        <w:numPr>
          <w:ilvl w:val="0"/>
          <w:numId w:val="9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Arial"/>
          <w:color w:val="000000"/>
          <w:szCs w:val="20"/>
        </w:rPr>
      </w:pPr>
      <w:r>
        <w:rPr>
          <w:rFonts w:cs="Arial" w:ascii="Times New Roman" w:hAnsi="Times New Roman"/>
          <w:color w:val="000000"/>
          <w:szCs w:val="20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>
      <w:pPr>
        <w:pStyle w:val="Normal"/>
        <w:numPr>
          <w:ilvl w:val="0"/>
          <w:numId w:val="9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Arial"/>
          <w:color w:val="000000"/>
          <w:szCs w:val="20"/>
        </w:rPr>
      </w:pPr>
      <w:r>
        <w:rPr>
          <w:rFonts w:cs="Arial" w:ascii="Times New Roman" w:hAnsi="Times New Roman"/>
          <w:color w:val="000000"/>
          <w:szCs w:val="20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>
      <w:pPr>
        <w:pStyle w:val="Normal"/>
        <w:numPr>
          <w:ilvl w:val="0"/>
          <w:numId w:val="9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Arial"/>
          <w:color w:val="000000"/>
          <w:szCs w:val="20"/>
        </w:rPr>
      </w:pPr>
      <w:r>
        <w:rPr>
          <w:rFonts w:cs="Arial" w:ascii="Times New Roman" w:hAnsi="Times New Roman"/>
          <w:color w:val="000000"/>
          <w:szCs w:val="20"/>
        </w:rPr>
        <w:t xml:space="preserve">В ССРСС, построчные и итоговые суммы </w:t>
      </w:r>
      <w:r>
        <w:rPr>
          <w:rFonts w:ascii="Times New Roman" w:hAnsi="Times New Roman"/>
          <w:color w:val="000000"/>
        </w:rPr>
        <w:t xml:space="preserve">указывать </w:t>
      </w:r>
      <w:r>
        <w:rPr>
          <w:rFonts w:cs="Arial" w:ascii="Times New Roman" w:hAnsi="Times New Roman"/>
          <w:color w:val="000000"/>
          <w:szCs w:val="20"/>
        </w:rPr>
        <w:t>в рублях с округлением до двух знаков после запятой. Величину НДС не указывать.</w:t>
      </w:r>
    </w:p>
    <w:p>
      <w:pPr>
        <w:sectPr>
          <w:footerReference w:type="default" r:id="rId3"/>
          <w:footnotePr>
            <w:numFmt w:val="decimal"/>
            <w:numRestart w:val="eachPage"/>
          </w:footnotePr>
          <w:type w:val="nextPage"/>
          <w:pgSz w:w="11906" w:h="16838"/>
          <w:pgMar w:left="1276" w:right="707" w:gutter="0" w:header="0" w:top="709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numPr>
          <w:ilvl w:val="0"/>
          <w:numId w:val="9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Arial"/>
          <w:color w:val="000000"/>
          <w:szCs w:val="20"/>
        </w:rPr>
      </w:pPr>
      <w:r>
        <w:rPr>
          <w:rFonts w:cs="Arial" w:ascii="Times New Roman" w:hAnsi="Times New Roman"/>
          <w:color w:val="000000"/>
          <w:szCs w:val="20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pStyle w:val="Normal"/>
        <w:widowControl w:val="false"/>
        <w:spacing w:lineRule="auto" w:line="240" w:before="0" w:after="0"/>
        <w:ind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ind w:firstLine="720"/>
        <w:jc w:val="center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                                                                                                 </w:t>
      </w:r>
    </w:p>
    <w:p>
      <w:pPr>
        <w:pStyle w:val="Normal"/>
        <w:widowControl w:val="false"/>
        <w:spacing w:lineRule="auto" w:line="240" w:before="0" w:after="0"/>
        <w:ind w:left="57" w:firstLine="720"/>
        <w:jc w:val="center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                                                                                                  </w:t>
      </w:r>
      <w:r>
        <w:rPr>
          <w:rFonts w:cs="Arial" w:ascii="Times New Roman" w:hAnsi="Times New Roman"/>
          <w:sz w:val="20"/>
          <w:szCs w:val="20"/>
        </w:rPr>
        <w:t>Приложение № 1.1</w:t>
      </w:r>
    </w:p>
    <w:p>
      <w:pPr>
        <w:pStyle w:val="Normal"/>
        <w:widowControl w:val="false"/>
        <w:spacing w:lineRule="auto" w:line="240" w:before="0" w:after="0"/>
        <w:ind w:left="57" w:firstLine="720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b/>
        </w:rPr>
        <w:t xml:space="preserve">ОБРАЗЕЦ </w:t>
      </w:r>
      <w:r>
        <w:rPr>
          <w:rFonts w:cs="Arial" w:ascii="Times New Roman" w:hAnsi="Times New Roman"/>
          <w:sz w:val="20"/>
          <w:szCs w:val="20"/>
        </w:rPr>
        <w:t xml:space="preserve">                                                                                            </w:t>
      </w:r>
    </w:p>
    <w:p>
      <w:pPr>
        <w:pStyle w:val="Normal"/>
        <w:widowControl w:val="false"/>
        <w:spacing w:lineRule="auto" w:line="240" w:before="0" w:after="0"/>
        <w:ind w:left="5811" w:hanging="0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к Требованиям к оформлению и составлению документации  по ценообразованию </w:t>
      </w:r>
    </w:p>
    <w:p>
      <w:pPr>
        <w:pStyle w:val="Normal"/>
        <w:widowControl w:val="false"/>
        <w:spacing w:lineRule="auto" w:line="240" w:before="0" w:after="0"/>
        <w:ind w:left="5811" w:firstLine="720"/>
        <w:jc w:val="center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  <w:r>
        <w:rPr>
          <w:rFonts w:cs="Arial" w:ascii="Times New Roman" w:hAnsi="Times New Roman"/>
          <w:sz w:val="20"/>
          <w:szCs w:val="20"/>
        </w:rPr>
        <w:t xml:space="preserve">Приложение №___                                                                                    к договору от_______№_____ </w:t>
      </w:r>
      <w:r>
        <w:rPr>
          <w:rFonts w:cs="Arial" w:ascii="Times New Roman" w:hAnsi="Times New Roman"/>
          <w:sz w:val="20"/>
          <w:szCs w:val="20"/>
          <w:lang w:val="en-US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  <w:bookmarkStart w:id="1" w:name="P2546"/>
      <w:bookmarkStart w:id="2" w:name="P2531"/>
      <w:bookmarkStart w:id="3" w:name="P2530"/>
      <w:bookmarkStart w:id="4" w:name="P3258"/>
      <w:bookmarkStart w:id="5" w:name="P2506"/>
      <w:bookmarkStart w:id="6" w:name="P2522"/>
      <w:bookmarkStart w:id="7" w:name="P2523"/>
      <w:bookmarkStart w:id="8" w:name="P2524"/>
      <w:bookmarkStart w:id="9" w:name="P2526"/>
      <w:bookmarkStart w:id="10" w:name="P2616"/>
      <w:bookmarkStart w:id="11" w:name="P2736"/>
      <w:bookmarkStart w:id="12" w:name="P2746"/>
      <w:bookmarkStart w:id="13" w:name="P2945"/>
      <w:bookmarkStart w:id="14" w:name="P2528"/>
      <w:bookmarkStart w:id="15" w:name="P2527"/>
      <w:bookmarkStart w:id="16" w:name="P2529"/>
      <w:bookmarkStart w:id="17" w:name="P2525"/>
      <w:bookmarkStart w:id="18" w:name="P2566"/>
      <w:bookmarkStart w:id="19" w:name="P2546"/>
      <w:bookmarkStart w:id="20" w:name="P2531"/>
      <w:bookmarkStart w:id="21" w:name="P2530"/>
      <w:bookmarkStart w:id="22" w:name="P3258"/>
      <w:bookmarkStart w:id="23" w:name="P2506"/>
      <w:bookmarkStart w:id="24" w:name="P2522"/>
      <w:bookmarkStart w:id="25" w:name="P2523"/>
      <w:bookmarkStart w:id="26" w:name="P2524"/>
      <w:bookmarkStart w:id="27" w:name="P2526"/>
      <w:bookmarkStart w:id="28" w:name="P2616"/>
      <w:bookmarkStart w:id="29" w:name="P2736"/>
      <w:bookmarkStart w:id="30" w:name="P2746"/>
      <w:bookmarkStart w:id="31" w:name="P2945"/>
      <w:bookmarkStart w:id="32" w:name="P2528"/>
      <w:bookmarkStart w:id="33" w:name="P2527"/>
      <w:bookmarkStart w:id="34" w:name="P2529"/>
      <w:bookmarkStart w:id="35" w:name="P2525"/>
      <w:bookmarkStart w:id="36" w:name="P2566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tbl>
      <w:tblPr>
        <w:tblW w:w="10915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3464"/>
        <w:gridCol w:w="7450"/>
      </w:tblGrid>
      <w:tr>
        <w:trPr>
          <w:trHeight w:val="1158" w:hRule="atLeast"/>
        </w:trPr>
        <w:tc>
          <w:tcPr>
            <w:tcW w:w="346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283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СОГЛАСОВАНО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909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______________(Подрядчик )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0" w:leader="none"/>
              </w:tabs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_______________(ФИО)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142" w:hanging="142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Заказчик:______________________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3855" w:firstLine="7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УТВЕРЖДАЮ: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909" w:hanging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           </w:t>
            </w:r>
            <w:r>
              <w:rPr>
                <w:rFonts w:ascii="Times New Roman" w:hAnsi="Times New Roman"/>
                <w:b/>
                <w:szCs w:val="20"/>
              </w:rPr>
              <w:t xml:space="preserve">                             </w:t>
            </w:r>
            <w:r>
              <w:rPr>
                <w:rFonts w:ascii="Times New Roman" w:hAnsi="Times New Roman"/>
                <w:szCs w:val="20"/>
              </w:rPr>
              <w:t>_____________(Заказчик )</w:t>
            </w:r>
          </w:p>
          <w:p>
            <w:pPr>
              <w:pStyle w:val="Normal"/>
              <w:widowControl w:val="false"/>
              <w:spacing w:lineRule="auto" w:line="240" w:before="0" w:after="0"/>
              <w:ind w:left="2551" w:firstLine="7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                 </w:t>
            </w:r>
            <w:r>
              <w:rPr>
                <w:rFonts w:ascii="Times New Roman" w:hAnsi="Times New Roman"/>
                <w:szCs w:val="20"/>
              </w:rPr>
              <w:t>______________(</w:t>
            </w:r>
            <w:r>
              <w:rPr>
                <w:rFonts w:ascii="Times New Roman" w:hAnsi="Times New Roman"/>
                <w:sz w:val="20"/>
                <w:szCs w:val="20"/>
              </w:rPr>
              <w:t>ФИО)</w:t>
            </w:r>
          </w:p>
        </w:tc>
      </w:tr>
      <w:tr>
        <w:trPr/>
        <w:tc>
          <w:tcPr>
            <w:tcW w:w="346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организации)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1091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Утвержден: __ ______________202__ г.</w:t>
            </w:r>
          </w:p>
        </w:tc>
      </w:tr>
    </w:tbl>
    <w:p>
      <w:pPr>
        <w:pStyle w:val="Normal"/>
        <w:widowControl w:val="false"/>
        <w:spacing w:lineRule="auto" w:line="240" w:before="0" w:after="0"/>
        <w:ind w:firstLine="720"/>
        <w:jc w:val="center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tbl>
      <w:tblPr>
        <w:tblW w:w="10977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09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cs="Arial" w:ascii="Times New Roman" w:hAnsi="Times New Roman"/>
                <w:sz w:val="20"/>
                <w:szCs w:val="20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(ссылка на документ об утверждении)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СВОДНЫЙ СМЕТНЫЙ РАСЧЕТ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 ССРСС-________</w:t>
            </w:r>
          </w:p>
        </w:tc>
      </w:tr>
      <w:tr>
        <w:trPr>
          <w:trHeight w:val="22" w:hRule="atLeast"/>
        </w:trPr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Составлен в текущих ценах, соответствующих периоду выполнения работ по Договору</w:t>
            </w:r>
          </w:p>
        </w:tc>
      </w:tr>
    </w:tbl>
    <w:p>
      <w:pPr>
        <w:pStyle w:val="Normal"/>
        <w:widowControl w:val="false"/>
        <w:spacing w:lineRule="auto" w:line="240" w:before="0" w:after="0"/>
        <w:ind w:firstLine="72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tbl>
      <w:tblPr>
        <w:tblW w:w="10982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633"/>
        <w:gridCol w:w="995"/>
        <w:gridCol w:w="1553"/>
        <w:gridCol w:w="60"/>
        <w:gridCol w:w="1647"/>
        <w:gridCol w:w="1561"/>
        <w:gridCol w:w="1559"/>
        <w:gridCol w:w="1424"/>
        <w:gridCol w:w="1548"/>
      </w:tblGrid>
      <w:tr>
        <w:trPr>
          <w:trHeight w:val="212" w:hRule="atLeast"/>
        </w:trPr>
        <w:tc>
          <w:tcPr>
            <w:tcW w:w="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Nп/п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019" w:hRule="atLeast"/>
        </w:trPr>
        <w:tc>
          <w:tcPr>
            <w:tcW w:w="6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6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91" w:hanging="6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8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13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273" w:hRule="atLeast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27" w:hRule="atLeast"/>
        </w:trPr>
        <w:tc>
          <w:tcPr>
            <w:tcW w:w="3241" w:type="dxa"/>
            <w:gridSpan w:val="4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567" w:leader="none"/>
                <w:tab w:val="left" w:pos="2091" w:leader="none"/>
              </w:tabs>
              <w:spacing w:lineRule="auto" w:line="240" w:before="0" w:after="0"/>
              <w:ind w:left="170" w:hanging="5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7739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241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739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3241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7739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241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907" w:firstLine="1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739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3241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739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spacing w:lineRule="auto" w:line="240" w:before="0" w:after="0"/>
        <w:ind w:left="357" w:hanging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57" w:hanging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br w:type="page"/>
      </w:r>
    </w:p>
    <w:p>
      <w:pPr>
        <w:pStyle w:val="Normal"/>
        <w:spacing w:lineRule="auto" w:line="240" w:before="0" w:after="0"/>
        <w:ind w:left="357" w:hanging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57" w:hanging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97" w:hanging="0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ind w:left="8646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к Требованиям к оформлению и составлению              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>документации  по ценообразованию</w:t>
      </w:r>
    </w:p>
    <w:p>
      <w:pPr>
        <w:pStyle w:val="Normal"/>
        <w:widowControl w:val="false"/>
        <w:spacing w:lineRule="auto" w:line="240" w:before="0" w:after="0"/>
        <w:ind w:left="5811" w:firstLine="720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ind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p>
      <w:pPr>
        <w:pStyle w:val="Normal"/>
        <w:widowControl w:val="false"/>
        <w:tabs>
          <w:tab w:val="clear" w:pos="709"/>
          <w:tab w:val="left" w:pos="6804" w:leader="none"/>
        </w:tabs>
        <w:spacing w:lineRule="auto" w:line="240" w:before="0" w:after="0"/>
        <w:ind w:left="5811" w:firstLine="720"/>
        <w:jc w:val="center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                      </w:t>
      </w:r>
      <w:r>
        <w:rPr>
          <w:rFonts w:cs="Arial" w:ascii="Times New Roman" w:hAnsi="Times New Roman"/>
          <w:sz w:val="20"/>
          <w:szCs w:val="20"/>
        </w:rPr>
        <w:t>Приложение №___</w:t>
      </w:r>
    </w:p>
    <w:p>
      <w:pPr>
        <w:pStyle w:val="Normal"/>
        <w:widowControl w:val="false"/>
        <w:tabs>
          <w:tab w:val="clear" w:pos="709"/>
          <w:tab w:val="left" w:pos="6946" w:leader="none"/>
        </w:tabs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                        </w:t>
      </w:r>
      <w:r>
        <w:rPr>
          <w:rFonts w:cs="Arial" w:ascii="Times New Roman" w:hAnsi="Times New Roman"/>
          <w:sz w:val="20"/>
          <w:szCs w:val="20"/>
        </w:rPr>
        <w:t>к дополнительному соглашению от ___ № ___</w:t>
      </w:r>
    </w:p>
    <w:p>
      <w:pPr>
        <w:pStyle w:val="Normal"/>
        <w:widowControl w:val="false"/>
        <w:spacing w:lineRule="auto" w:line="240" w:before="0" w:after="0"/>
        <w:ind w:left="5811" w:firstLine="720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rFonts w:cs="Arial" w:ascii="Times New Roman" w:hAnsi="Times New Roman"/>
          <w:sz w:val="20"/>
          <w:szCs w:val="20"/>
        </w:rPr>
        <w:t xml:space="preserve">к договору от________№_____ </w:t>
      </w:r>
    </w:p>
    <w:tbl>
      <w:tblPr>
        <w:tblW w:w="10915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1222"/>
        <w:gridCol w:w="9692"/>
      </w:tblGrid>
      <w:tr>
        <w:trPr/>
        <w:tc>
          <w:tcPr>
            <w:tcW w:w="12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>Заказчик</w:t>
            </w:r>
          </w:p>
        </w:tc>
        <w:tc>
          <w:tcPr>
            <w:tcW w:w="969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12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692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организации)</w:t>
            </w:r>
          </w:p>
        </w:tc>
      </w:tr>
      <w:tr>
        <w:trPr/>
        <w:tc>
          <w:tcPr>
            <w:tcW w:w="1091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Утвержден __ ______________ 20__ г.</w:t>
            </w:r>
          </w:p>
        </w:tc>
      </w:tr>
    </w:tbl>
    <w:p>
      <w:pPr>
        <w:pStyle w:val="Normal"/>
        <w:widowControl w:val="false"/>
        <w:spacing w:lineRule="auto" w:line="240" w:before="0" w:after="0"/>
        <w:ind w:firstLine="7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tbl>
      <w:tblPr>
        <w:tblW w:w="10977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09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(ссылка на документ об утверждении)</w:t>
            </w:r>
          </w:p>
        </w:tc>
      </w:tr>
    </w:tbl>
    <w:p>
      <w:pPr>
        <w:pStyle w:val="Normal"/>
        <w:widowControl w:val="false"/>
        <w:spacing w:lineRule="auto" w:line="240" w:before="0" w:after="0"/>
        <w:ind w:firstLine="7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tbl>
      <w:tblPr>
        <w:tblW w:w="10977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10977"/>
      </w:tblGrid>
      <w:tr>
        <w:trPr/>
        <w:tc>
          <w:tcPr>
            <w:tcW w:w="1097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СВОДНЫЙ СМЕТНЫЙ РАСЧЕТ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 ССРСС-________</w:t>
            </w:r>
          </w:p>
        </w:tc>
      </w:tr>
      <w:tr>
        <w:trPr/>
        <w:tc>
          <w:tcPr>
            <w:tcW w:w="1097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10977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Normal"/>
        <w:widowControl w:val="false"/>
        <w:spacing w:lineRule="auto" w:line="240" w:before="0" w:after="0"/>
        <w:ind w:firstLine="7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tbl>
      <w:tblPr>
        <w:tblW w:w="10706" w:type="dxa"/>
        <w:jc w:val="left"/>
        <w:tblInd w:w="4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428"/>
        <w:gridCol w:w="990"/>
        <w:gridCol w:w="293"/>
        <w:gridCol w:w="1636"/>
        <w:gridCol w:w="57"/>
        <w:gridCol w:w="1699"/>
        <w:gridCol w:w="15"/>
        <w:gridCol w:w="1263"/>
        <w:gridCol w:w="1424"/>
        <w:gridCol w:w="1135"/>
        <w:gridCol w:w="1764"/>
      </w:tblGrid>
      <w:tr>
        <w:trPr>
          <w:trHeight w:val="311" w:hRule="atLeast"/>
        </w:trPr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9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294" w:hRule="atLeast"/>
        </w:trPr>
        <w:tc>
          <w:tcPr>
            <w:tcW w:w="4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6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91" w:hanging="6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8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13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144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Сметы основного договора</w:t>
            </w:r>
          </w:p>
        </w:tc>
      </w:tr>
      <w:tr>
        <w:trPr>
          <w:trHeight w:val="287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339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 по сметам основного договора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2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 по главам №№: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 по ССР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283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Справочно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1, без НДС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47" w:type="dxa"/>
            <w:gridSpan w:val="4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2091" w:leader="none"/>
              </w:tabs>
              <w:spacing w:lineRule="auto" w:line="240" w:before="0" w:after="0"/>
              <w:ind w:left="425" w:hanging="42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Составил:</w:t>
            </w:r>
          </w:p>
        </w:tc>
        <w:tc>
          <w:tcPr>
            <w:tcW w:w="7357" w:type="dxa"/>
            <w:gridSpan w:val="7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3347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57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[подпись (инициалы, фамилия)]</w:t>
            </w:r>
          </w:p>
        </w:tc>
      </w:tr>
      <w:tr>
        <w:trPr/>
        <w:tc>
          <w:tcPr>
            <w:tcW w:w="3347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141" w:hanging="14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Проверил:</w:t>
            </w:r>
          </w:p>
        </w:tc>
        <w:tc>
          <w:tcPr>
            <w:tcW w:w="7357" w:type="dxa"/>
            <w:gridSpan w:val="7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3347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57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[подпись (инициалы, фамилия)]</w:t>
            </w:r>
          </w:p>
        </w:tc>
      </w:tr>
      <w:tr>
        <w:trPr/>
        <w:tc>
          <w:tcPr>
            <w:tcW w:w="171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93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1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6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586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171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93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19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1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586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171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141" w:hanging="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93" w:type="dxa"/>
            <w:gridSpan w:val="8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171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93" w:type="dxa"/>
            <w:gridSpan w:val="8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sectPr>
          <w:footerReference w:type="default" r:id="rId4"/>
          <w:footerReference w:type="first" r:id="rId5"/>
          <w:footnotePr>
            <w:numFmt w:val="decimal"/>
            <w:numRestart w:val="eachPage"/>
          </w:footnotePr>
          <w:type w:val="nextPage"/>
          <w:pgSz w:w="11906" w:h="16838"/>
          <w:pgMar w:left="426" w:right="567" w:gutter="0" w:header="0" w:top="0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426" w:hanging="42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>
      <w:pPr>
        <w:pStyle w:val="Normal"/>
        <w:widowControl w:val="false"/>
        <w:spacing w:lineRule="auto" w:line="240" w:before="0" w:after="0"/>
        <w:ind w:left="5811" w:firstLine="720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</w:t>
      </w:r>
      <w:r>
        <w:rPr>
          <w:rFonts w:cs="Arial" w:ascii="Times New Roman" w:hAnsi="Times New Roman"/>
          <w:sz w:val="20"/>
          <w:szCs w:val="20"/>
        </w:rPr>
        <w:t xml:space="preserve">к Требованиям к оформлению и составлению              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документации  по ценообразованию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>Приложение №___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>к дополнительному соглашению от ___ № ___</w:t>
      </w:r>
    </w:p>
    <w:p>
      <w:pPr>
        <w:pStyle w:val="Normal"/>
        <w:widowControl w:val="false"/>
        <w:spacing w:lineRule="auto" w:line="240" w:before="0" w:after="0"/>
        <w:ind w:left="5811" w:firstLine="720"/>
        <w:jc w:val="center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                                  </w:t>
      </w:r>
      <w:r>
        <w:rPr>
          <w:rFonts w:cs="Arial" w:ascii="Times New Roman" w:hAnsi="Times New Roman"/>
          <w:sz w:val="20"/>
          <w:szCs w:val="20"/>
        </w:rPr>
        <w:t xml:space="preserve">к договору от_______№_____ </w:t>
      </w:r>
    </w:p>
    <w:p>
      <w:pPr>
        <w:pStyle w:val="Normal"/>
        <w:widowControl w:val="false"/>
        <w:spacing w:lineRule="auto" w:line="240" w:before="0" w:after="0"/>
        <w:ind w:firstLine="720"/>
        <w:jc w:val="center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10206" w:type="dxa"/>
        <w:jc w:val="left"/>
        <w:tblInd w:w="5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424"/>
        <w:gridCol w:w="851"/>
        <w:gridCol w:w="851"/>
        <w:gridCol w:w="1276"/>
        <w:gridCol w:w="1277"/>
        <w:gridCol w:w="1700"/>
        <w:gridCol w:w="1708"/>
        <w:gridCol w:w="2117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21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357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ind w:left="357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№1.4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Требованиям к оформлению и составлению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документации </w:t>
      </w:r>
      <w:r>
        <w:rPr>
          <w:rFonts w:cs="Arial" w:ascii="Times New Roman" w:hAnsi="Times New Roman"/>
          <w:sz w:val="20"/>
          <w:szCs w:val="20"/>
          <w:lang w:val="en-US"/>
        </w:rPr>
        <w:t xml:space="preserve"> по ценообразованию</w:t>
      </w:r>
      <w:r>
        <w:rPr>
          <w:rFonts w:cs="Arial" w:ascii="Times New Roman" w:hAnsi="Times New Roman"/>
          <w:sz w:val="20"/>
          <w:szCs w:val="20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>Приложение №___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>к дополнительному соглашению от ___ № ___</w:t>
      </w:r>
    </w:p>
    <w:p>
      <w:pPr>
        <w:pStyle w:val="Normal"/>
        <w:widowControl w:val="false"/>
        <w:spacing w:lineRule="auto" w:line="240" w:before="0" w:after="0"/>
        <w:ind w:left="5811" w:firstLine="720"/>
        <w:jc w:val="center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к договору от_______№_____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ind w:firstLine="72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объемов работ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tbl>
      <w:tblPr>
        <w:tblW w:w="10773" w:type="dxa"/>
        <w:jc w:val="left"/>
        <w:tblInd w:w="2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425"/>
        <w:gridCol w:w="710"/>
        <w:gridCol w:w="850"/>
        <w:gridCol w:w="1209"/>
        <w:gridCol w:w="915"/>
        <w:gridCol w:w="851"/>
        <w:gridCol w:w="853"/>
        <w:gridCol w:w="851"/>
        <w:gridCol w:w="851"/>
        <w:gridCol w:w="706"/>
        <w:gridCol w:w="567"/>
        <w:gridCol w:w="850"/>
        <w:gridCol w:w="1134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62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6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360" w:hanging="1416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797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64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800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увели</w:t>
            </w:r>
          </w:p>
          <w:p>
            <w:pPr>
              <w:pStyle w:val="Normal"/>
              <w:widowControl w:val="false"/>
              <w:spacing w:lineRule="auto" w:line="240" w:before="0" w:after="0"/>
              <w:ind w:left="-800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footerReference w:type="default" r:id="rId6"/>
          <w:footerReference w:type="first" r:id="rId7"/>
          <w:footnotePr>
            <w:numFmt w:val="decimal"/>
            <w:numRestart w:val="eachPage"/>
          </w:footnotePr>
          <w:type w:val="nextPage"/>
          <w:pgSz w:w="11906" w:h="16838"/>
          <w:pgMar w:left="426" w:right="924" w:gutter="0" w:header="0" w:top="284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Приложение№1.5 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к Требованиям к оформлению и составлению              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  <w:lang w:val="en-US"/>
        </w:rPr>
      </w:pPr>
      <w:r>
        <w:rPr>
          <w:rFonts w:cs="Arial" w:ascii="Times New Roman" w:hAnsi="Times New Roman"/>
          <w:sz w:val="20"/>
          <w:szCs w:val="20"/>
        </w:rPr>
        <w:t xml:space="preserve">документации </w:t>
      </w:r>
      <w:r>
        <w:rPr>
          <w:rFonts w:cs="Arial" w:ascii="Times New Roman" w:hAnsi="Times New Roman"/>
          <w:sz w:val="20"/>
          <w:szCs w:val="20"/>
          <w:lang w:val="en-US"/>
        </w:rPr>
        <w:t>по ценообразованию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4850" w:type="pct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125"/>
        <w:gridCol w:w="1307"/>
        <w:gridCol w:w="943"/>
        <w:gridCol w:w="2795"/>
        <w:gridCol w:w="850"/>
        <w:gridCol w:w="1088"/>
        <w:gridCol w:w="665"/>
        <w:gridCol w:w="1034"/>
        <w:gridCol w:w="1075"/>
        <w:gridCol w:w="1095"/>
        <w:gridCol w:w="562"/>
        <w:gridCol w:w="986"/>
        <w:gridCol w:w="683"/>
        <w:gridCol w:w="19"/>
        <w:gridCol w:w="1130"/>
      </w:tblGrid>
      <w:tr>
        <w:trPr>
          <w:trHeight w:val="285" w:hRule="atLeast"/>
        </w:trPr>
        <w:tc>
          <w:tcPr>
            <w:tcW w:w="3375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79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380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6170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75" w:type="dxa"/>
            <w:gridSpan w:val="6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12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0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9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986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702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30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30" w:hRule="atLeast"/>
        </w:trPr>
        <w:tc>
          <w:tcPr>
            <w:tcW w:w="24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_____________2021 г</w:t>
            </w:r>
          </w:p>
        </w:tc>
        <w:tc>
          <w:tcPr>
            <w:tcW w:w="94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9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________2021 г</w:t>
            </w:r>
          </w:p>
        </w:tc>
      </w:tr>
      <w:tr>
        <w:trPr>
          <w:trHeight w:val="225" w:hRule="atLeast"/>
        </w:trPr>
        <w:tc>
          <w:tcPr>
            <w:tcW w:w="3375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редакции сметных нормативов</w:t>
            </w:r>
          </w:p>
        </w:tc>
        <w:tc>
          <w:tcPr>
            <w:tcW w:w="11982" w:type="dxa"/>
            <w:gridSpan w:val="1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337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45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1088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34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62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986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702" w:type="dxa"/>
            <w:gridSpan w:val="2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30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65" w:hRule="exact"/>
        </w:trPr>
        <w:tc>
          <w:tcPr>
            <w:tcW w:w="11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0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7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357" w:type="dxa"/>
            <w:gridSpan w:val="15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357" w:type="dxa"/>
            <w:gridSpan w:val="1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357" w:type="dxa"/>
            <w:gridSpan w:val="15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357" w:type="dxa"/>
            <w:gridSpan w:val="1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ЛОКАЛЬНЫЙ СМЕТНЫЙ РАСЧЕТ (СМЕТА) №</w:t>
            </w:r>
          </w:p>
        </w:tc>
      </w:tr>
      <w:tr>
        <w:trPr>
          <w:trHeight w:val="165" w:hRule="exact"/>
        </w:trPr>
        <w:tc>
          <w:tcPr>
            <w:tcW w:w="11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130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7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357" w:type="dxa"/>
            <w:gridSpan w:val="1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70" w:hRule="atLeast"/>
        </w:trPr>
        <w:tc>
          <w:tcPr>
            <w:tcW w:w="15357" w:type="dxa"/>
            <w:gridSpan w:val="15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>
        <w:trPr>
          <w:trHeight w:val="300" w:hRule="atLeast"/>
        </w:trPr>
        <w:tc>
          <w:tcPr>
            <w:tcW w:w="11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Составлен</w:t>
            </w:r>
          </w:p>
        </w:tc>
        <w:tc>
          <w:tcPr>
            <w:tcW w:w="130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ресурсно-индексным</w:t>
            </w:r>
          </w:p>
        </w:tc>
        <w:tc>
          <w:tcPr>
            <w:tcW w:w="9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27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11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6983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1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83" w:type="dxa"/>
            <w:gridSpan w:val="5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tcW w:w="10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337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Составлен(а) в текущем (базисном) уровне цен</w:t>
            </w:r>
          </w:p>
        </w:tc>
        <w:tc>
          <w:tcPr>
            <w:tcW w:w="279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соответствующих периоду выполнения работ по договору</w:t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243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Сметная стоимость</w:t>
            </w:r>
          </w:p>
        </w:tc>
        <w:tc>
          <w:tcPr>
            <w:tcW w:w="943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9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0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9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0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943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9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86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56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986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702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3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</w:tr>
      <w:tr>
        <w:trPr>
          <w:trHeight w:val="255" w:hRule="atLeast"/>
        </w:trPr>
        <w:tc>
          <w:tcPr>
            <w:tcW w:w="11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0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943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9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86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56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986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702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0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943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9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86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56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986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702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2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0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943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9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431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Расчетный измеритель конструктивного решения</w:t>
            </w:r>
          </w:p>
        </w:tc>
        <w:tc>
          <w:tcPr>
            <w:tcW w:w="1688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95" w:hRule="exact"/>
        </w:trPr>
        <w:tc>
          <w:tcPr>
            <w:tcW w:w="112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0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7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2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999" w:hRule="atLeast"/>
        </w:trPr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45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4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900" w:hRule="atLeast"/>
        </w:trPr>
        <w:tc>
          <w:tcPr>
            <w:tcW w:w="11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588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на единицу</w:t>
            </w:r>
          </w:p>
        </w:tc>
        <w:tc>
          <w:tcPr>
            <w:tcW w:w="10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коэффициенты</w:t>
            </w:r>
          </w:p>
        </w:tc>
        <w:tc>
          <w:tcPr>
            <w:tcW w:w="10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всего с учетом коэффициентов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Web"/>
              <w:widowControl w:val="false"/>
              <w:spacing w:before="30" w:after="30"/>
              <w:jc w:val="center"/>
              <w:rPr>
                <w:rFonts w:eastAsia="Times New Roman"/>
                <w:color w:val="auto"/>
                <w:spacing w:val="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color w:val="auto"/>
                <w:spacing w:val="0"/>
                <w:sz w:val="18"/>
                <w:szCs w:val="18"/>
              </w:rPr>
              <w:t>на единицу измерения в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базисном уровне це</w:t>
            </w:r>
          </w:p>
        </w:tc>
        <w:tc>
          <w:tcPr>
            <w:tcW w:w="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индекс</w:t>
            </w:r>
          </w:p>
        </w:tc>
        <w:tc>
          <w:tcPr>
            <w:tcW w:w="9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на единицу измерения в текущем уровне цен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коэффициенты</w:t>
            </w:r>
          </w:p>
        </w:tc>
        <w:tc>
          <w:tcPr>
            <w:tcW w:w="1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Autospacing="1" w:afterAutospacing="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всего в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текущем уровне цен</w:t>
            </w:r>
          </w:p>
        </w:tc>
      </w:tr>
      <w:tr>
        <w:trPr>
          <w:trHeight w:val="225" w:hRule="atLeast"/>
        </w:trPr>
        <w:tc>
          <w:tcPr>
            <w:tcW w:w="1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8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98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sectPr>
          <w:footerReference w:type="default" r:id="rId8"/>
          <w:footerReference w:type="first" r:id="rId9"/>
          <w:footnotePr>
            <w:numFmt w:val="decimal"/>
            <w:numRestart w:val="eachPage"/>
          </w:footnotePr>
          <w:type w:val="nextPage"/>
          <w:pgSz w:orient="landscape" w:w="16838" w:h="11906"/>
          <w:pgMar w:left="720" w:right="284" w:gutter="0" w:header="0" w:top="426" w:footer="709" w:bottom="924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2 </w:t>
      </w:r>
    </w:p>
    <w:p>
      <w:pPr>
        <w:pStyle w:val="Normal"/>
        <w:spacing w:lineRule="auto" w:line="240" w:before="0" w:after="0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документации  по ценообразованию</w:t>
      </w:r>
    </w:p>
    <w:p>
      <w:pPr>
        <w:pStyle w:val="Normal"/>
        <w:shd w:val="clear" w:color="auto" w:fill="FFFFFF"/>
        <w:spacing w:lineRule="auto" w:line="240" w:before="0" w:after="0"/>
        <w:ind w:left="142" w:hanging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№ 3п</w:t>
      </w:r>
    </w:p>
    <w:tbl>
      <w:tblPr>
        <w:tblW w:w="99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989"/>
      </w:tblGrid>
      <w:tr>
        <w:trPr/>
        <w:tc>
          <w:tcPr>
            <w:tcW w:w="9989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Приложение №_____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 договору от ______№_______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noVBand="1" w:val="04a0" w:noHBand="0" w:lastColumn="0" w:firstColumn="1" w:lastRow="0" w:firstRow="1"/>
            </w:tblPr>
            <w:tblGrid>
              <w:gridCol w:w="4430"/>
              <w:gridCol w:w="5133"/>
            </w:tblGrid>
            <w:tr>
              <w:trPr>
                <w:trHeight w:val="446" w:hRule="atLeast"/>
              </w:trPr>
              <w:tc>
                <w:tcPr>
                  <w:tcW w:w="443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________________(Подрядчик)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5133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_________________(Заказчик)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шеф - монтажные работы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вида шеф-монтажных работ_____________________________________________________________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монтажной организации 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9649" w:type="dxa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noVBand="1" w:val="04a0" w:noHBand="0" w:lastColumn="0" w:firstColumn="1" w:lastRow="0" w:firstRow="1"/>
            </w:tblPr>
            <w:tblGrid>
              <w:gridCol w:w="576"/>
              <w:gridCol w:w="2208"/>
              <w:gridCol w:w="1108"/>
              <w:gridCol w:w="1185"/>
              <w:gridCol w:w="1416"/>
              <w:gridCol w:w="1424"/>
              <w:gridCol w:w="1731"/>
            </w:tblGrid>
            <w:tr>
              <w:trPr>
                <w:tblHeader w:val="true"/>
              </w:trPr>
              <w:tc>
                <w:tcPr>
                  <w:tcW w:w="57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2208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2293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416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142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 1 день</w:t>
                  </w:r>
                </w:p>
              </w:tc>
              <w:tc>
                <w:tcPr>
                  <w:tcW w:w="1731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6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08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08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416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424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31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08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8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6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3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>
              <w:trPr/>
              <w:tc>
                <w:tcPr>
                  <w:tcW w:w="576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08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08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416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424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3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576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2208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108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41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424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73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заработной платы, в руб.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Расчет стоимости выполнения работ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 Накладные расходы, %_______________________________________________________________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 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Уровень рентабельности, %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 </w:t>
            </w:r>
            <w:r>
              <w:rPr>
                <w:rFonts w:ascii="Times New Roman" w:hAnsi="Times New Roman"/>
              </w:rPr>
              <w:t>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Командировочные расходы (по расчету)______________________________________________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Составил:________/должность,организация/_______/подпись/___________/расшифровка подписи/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Проверил:_________/должность, организация/_________/подпись/_________/расшифровка подписи/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2.1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Требованиям к оформлению и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составлению документации  по ценообразованию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ПОЯСНИТЕЛЬНАЯ ЗАПИСКА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 составлении смет на шеф-монтажные, шеф-наладочные работы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Форма сметы для определения затрат по себестоимости и уровню рентабельности (форма №3п) приведена в образце 3П Приложения 2 к Требованиям к оформлению и составлению документации по ценообразованию.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sz w:val="20"/>
          <w:szCs w:val="20"/>
          <w:u w:val="single"/>
        </w:rPr>
        <w:t>округлять до целых рублей.</w:t>
      </w:r>
    </w:p>
    <w:p>
      <w:pPr>
        <w:pStyle w:val="Normal"/>
        <w:numPr>
          <w:ilvl w:val="0"/>
          <w:numId w:val="6"/>
        </w:numPr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Особенности заполнения формы 3п.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Раздел 1. Расчет заработной платы:</w:t>
      </w:r>
    </w:p>
    <w:p>
      <w:pPr>
        <w:pStyle w:val="Normal"/>
        <w:numPr>
          <w:ilvl w:val="0"/>
          <w:numId w:val="5"/>
        </w:numPr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графе 1 приводится нумерация выполняемых работ;</w:t>
      </w:r>
    </w:p>
    <w:p>
      <w:pPr>
        <w:pStyle w:val="Normal"/>
        <w:numPr>
          <w:ilvl w:val="0"/>
          <w:numId w:val="5"/>
        </w:numPr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графе 2 приводится наименование выполняемых работ;</w:t>
      </w:r>
    </w:p>
    <w:p>
      <w:pPr>
        <w:pStyle w:val="Normal"/>
        <w:numPr>
          <w:ilvl w:val="0"/>
          <w:numId w:val="5"/>
        </w:numPr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графе 3 указывается количество привлекаемых работников;</w:t>
      </w:r>
    </w:p>
    <w:p>
      <w:pPr>
        <w:pStyle w:val="Normal"/>
        <w:numPr>
          <w:ilvl w:val="0"/>
          <w:numId w:val="5"/>
        </w:numPr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Normal"/>
        <w:numPr>
          <w:ilvl w:val="0"/>
          <w:numId w:val="5"/>
        </w:numPr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>
      <w:pPr>
        <w:pStyle w:val="Normal"/>
        <w:numPr>
          <w:ilvl w:val="0"/>
          <w:numId w:val="5"/>
        </w:numPr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Normal"/>
        <w:numPr>
          <w:ilvl w:val="0"/>
          <w:numId w:val="5"/>
        </w:numPr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графе 7 указывается заработная плата в рублях (</w:t>
      </w:r>
      <w:r>
        <w:rPr>
          <w:rFonts w:ascii="Times New Roman" w:hAnsi="Times New Roman"/>
          <w:b/>
          <w:sz w:val="20"/>
          <w:szCs w:val="20"/>
          <w:u w:val="single"/>
        </w:rPr>
        <w:t>результат перемножения граф 5 и 6</w:t>
      </w:r>
      <w:r>
        <w:rPr>
          <w:rFonts w:ascii="Times New Roman" w:hAnsi="Times New Roman"/>
          <w:sz w:val="20"/>
          <w:szCs w:val="20"/>
        </w:rPr>
        <w:t>);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Раздел 2. Расчет стоимости выполнения работ</w:t>
      </w:r>
    </w:p>
    <w:p>
      <w:pPr>
        <w:pStyle w:val="Normal"/>
        <w:numPr>
          <w:ilvl w:val="0"/>
          <w:numId w:val="5"/>
        </w:numPr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>
      <w:pPr>
        <w:pStyle w:val="Normal"/>
        <w:numPr>
          <w:ilvl w:val="0"/>
          <w:numId w:val="5"/>
        </w:numPr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>
      <w:pPr>
        <w:pStyle w:val="Normal"/>
        <w:numPr>
          <w:ilvl w:val="0"/>
          <w:numId w:val="5"/>
        </w:numPr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Normal"/>
        <w:numPr>
          <w:ilvl w:val="0"/>
          <w:numId w:val="5"/>
        </w:numPr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уровень рентабельности по отношению к себестоимости может составлять до 15%.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Раздел 3. Расчет командировочных расходов.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 к пояснительной записке по заполнению формы 3П) с расшифровкой затрат на проезд, проживание, суточные расходы.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Стоимость проезда необходимо указать по каждому виду транспорта отдельно туда и отдельно обратно.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Размеры возмещения расходов, связанных со служебными команд</w:t>
      </w:r>
      <w:bookmarkStart w:id="37" w:name="_GoBack"/>
      <w:bookmarkEnd w:id="37"/>
      <w:r>
        <w:rPr>
          <w:rFonts w:ascii="Times New Roman" w:hAnsi="Times New Roman"/>
          <w:sz w:val="20"/>
          <w:szCs w:val="20"/>
        </w:rPr>
        <w:t>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Лимиты командировочных расходов:</w:t>
      </w:r>
    </w:p>
    <w:p>
      <w:pPr>
        <w:pStyle w:val="Normal"/>
        <w:numPr>
          <w:ilvl w:val="0"/>
          <w:numId w:val="7"/>
        </w:numPr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суточные - 700 руб./сутки;</w:t>
      </w:r>
    </w:p>
    <w:p>
      <w:pPr>
        <w:pStyle w:val="Normal"/>
        <w:numPr>
          <w:ilvl w:val="0"/>
          <w:numId w:val="7"/>
        </w:numPr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проживание - до 5000 руб./сутки;</w:t>
      </w:r>
    </w:p>
    <w:p>
      <w:pPr>
        <w:pStyle w:val="Normal"/>
        <w:numPr>
          <w:ilvl w:val="0"/>
          <w:numId w:val="7"/>
        </w:numPr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sectPr>
          <w:footerReference w:type="default" r:id="rId10"/>
          <w:footerReference w:type="first" r:id="rId11"/>
          <w:footnotePr>
            <w:numFmt w:val="decimal"/>
            <w:numRestart w:val="eachPage"/>
          </w:footnotePr>
          <w:type w:val="nextPage"/>
          <w:pgSz w:w="11906" w:h="16838"/>
          <w:pgMar w:left="993" w:right="924" w:gutter="0" w:header="0" w:top="568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 заполнению формы 3П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СПРАВКА от__________ (указать дату составления справки) (Образец)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tbl>
      <w:tblPr>
        <w:tblW w:w="8793" w:type="dxa"/>
        <w:jc w:val="left"/>
        <w:tblInd w:w="2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Накладные расходы _______(%)</w:t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Рентабельность предприятия_________(%)</w:t>
        <w:tab/>
        <w:tab/>
        <w:tab/>
        <w:tab/>
        <w:tab/>
        <w:tab/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Дата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(Главный бухгалтер)</w:t>
      </w:r>
      <w:r>
        <w:rPr>
          <w:rStyle w:val="FootnoteReference"/>
          <w:rFonts w:ascii="Times New Roman" w:hAnsi="Times New Roman"/>
          <w:sz w:val="20"/>
          <w:szCs w:val="20"/>
        </w:rPr>
        <w:footnoteReference w:id="4"/>
      </w:r>
      <w:r>
        <w:rPr>
          <w:rFonts w:ascii="Times New Roman" w:hAnsi="Times New Roman"/>
          <w:sz w:val="20"/>
          <w:szCs w:val="20"/>
        </w:rPr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(краткое/полное наименование организации контрагента/подрядчика) _________ (ФИО)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 заполнению формы 3П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 расчета командировочных расходов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__ к смете № 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Расчет командировочных расходов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10661" w:type="dxa"/>
        <w:jc w:val="left"/>
        <w:tblInd w:w="-2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56"/>
        <w:gridCol w:w="142"/>
        <w:gridCol w:w="990"/>
        <w:gridCol w:w="710"/>
        <w:gridCol w:w="1275"/>
        <w:gridCol w:w="709"/>
        <w:gridCol w:w="1442"/>
        <w:gridCol w:w="1311"/>
        <w:gridCol w:w="937"/>
        <w:gridCol w:w="1131"/>
        <w:gridCol w:w="1557"/>
      </w:tblGrid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  <w:br/>
              <w:t>(туда / обратно)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транспорта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суточных, руб./сут. </w:t>
              <w:br/>
              <w:t>(без НДС)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проживания, руб./сут.. </w:t>
              <w:br/>
              <w:t>(без НДС)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командированных человек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  <w:br/>
              <w:t>(без НДС)</w:t>
            </w:r>
          </w:p>
        </w:tc>
      </w:tr>
      <w:tr>
        <w:trPr/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1 в пункт 5</w:t>
            </w:r>
          </w:p>
        </w:tc>
      </w:tr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1 в пункт 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2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4 в пункт 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17" w:hRule="atLeast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5 в пункт 1</w:t>
            </w:r>
          </w:p>
        </w:tc>
      </w:tr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5 в пункт 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4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2 в пункт 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sectPr>
          <w:footerReference w:type="default" r:id="rId12"/>
          <w:footerReference w:type="first" r:id="rId13"/>
          <w:footnotePr>
            <w:numFmt w:val="decimal"/>
            <w:numRestart w:val="eachPage"/>
          </w:footnotePr>
          <w:type w:val="nextPage"/>
          <w:pgSz w:w="11906" w:h="16838"/>
          <w:pgMar w:left="1134" w:right="851" w:gutter="0" w:header="0" w:top="993" w:footer="709" w:bottom="992"/>
          <w:pgNumType w:fmt="decimal"/>
          <w:formProt w:val="false"/>
          <w:textDirection w:val="lrTb"/>
          <w:docGrid w:type="default" w:linePitch="360" w:charSpace="0"/>
        </w:sectPr>
        <w:pStyle w:val="Normal"/>
        <w:rPr/>
      </w:pPr>
      <w:r>
        <w:rPr>
          <w:rFonts w:ascii="Times New Roman" w:hAnsi="Times New Roman"/>
          <w:sz w:val="20"/>
          <w:szCs w:val="20"/>
        </w:rPr>
        <w:tab/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Приложение 3 к Требованиям к оформлению и составлению  </w:t>
      </w:r>
      <w:r>
        <w:rPr>
          <w:rFonts w:ascii="Times New Roman" w:hAnsi="Times New Roman"/>
          <w:lang w:val="en-US"/>
        </w:rPr>
        <w:t xml:space="preserve">документации по ценообразованию 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</w:t>
      </w:r>
    </w:p>
    <w:tbl>
      <w:tblPr>
        <w:tblW w:w="15713" w:type="dxa"/>
        <w:jc w:val="center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0" w:val="0000" w:noHBand="0" w:lastColumn="0" w:firstColumn="0" w:lastRow="0" w:firstRow="0"/>
      </w:tblPr>
      <w:tblGrid>
        <w:gridCol w:w="339"/>
        <w:gridCol w:w="419"/>
        <w:gridCol w:w="368"/>
        <w:gridCol w:w="143"/>
        <w:gridCol w:w="195"/>
        <w:gridCol w:w="702"/>
        <w:gridCol w:w="704"/>
        <w:gridCol w:w="508"/>
        <w:gridCol w:w="702"/>
        <w:gridCol w:w="756"/>
        <w:gridCol w:w="704"/>
        <w:gridCol w:w="569"/>
        <w:gridCol w:w="880"/>
        <w:gridCol w:w="702"/>
        <w:gridCol w:w="702"/>
        <w:gridCol w:w="423"/>
        <w:gridCol w:w="563"/>
        <w:gridCol w:w="705"/>
        <w:gridCol w:w="564"/>
        <w:gridCol w:w="426"/>
        <w:gridCol w:w="508"/>
        <w:gridCol w:w="100"/>
        <w:gridCol w:w="603"/>
        <w:gridCol w:w="549"/>
        <w:gridCol w:w="430"/>
        <w:gridCol w:w="400"/>
        <w:gridCol w:w="144"/>
        <w:gridCol w:w="563"/>
        <w:gridCol w:w="702"/>
        <w:gridCol w:w="475"/>
        <w:gridCol w:w="161"/>
      </w:tblGrid>
      <w:tr>
        <w:trPr>
          <w:trHeight w:val="290" w:hRule="atLeast"/>
        </w:trPr>
        <w:tc>
          <w:tcPr>
            <w:tcW w:w="339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68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556" w:type="dxa"/>
            <w:gridSpan w:val="19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Конъюнктурный анализ</w:t>
            </w:r>
          </w:p>
        </w:tc>
        <w:tc>
          <w:tcPr>
            <w:tcW w:w="60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54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3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0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4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56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6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583" w:hRule="atLeast"/>
        </w:trPr>
        <w:tc>
          <w:tcPr>
            <w:tcW w:w="339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19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68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3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279" w:type="dxa"/>
            <w:gridSpan w:val="26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(наименование объекта строительства)</w:t>
            </w:r>
          </w:p>
        </w:tc>
        <w:tc>
          <w:tcPr>
            <w:tcW w:w="16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658" w:hRule="atLeast"/>
        </w:trPr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Код строительного ресурса</w:t>
            </w:r>
          </w:p>
        </w:tc>
        <w:tc>
          <w:tcPr>
            <w:tcW w:w="70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строительного ресурса, затрат</w:t>
            </w:r>
          </w:p>
        </w:tc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Полное наименование строительного ресурса, затрат в обосновывающем документе</w:t>
            </w:r>
          </w:p>
        </w:tc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 изм. строительного ресурса, затрат в обосновывающем документе</w:t>
            </w:r>
          </w:p>
        </w:tc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Текущая отпускная цена за ед. изм. в обосновывающем документе с НДС в руб.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Текущая отпускная цена за единицу измерения в обосновывающем документе без НДС2, руб.</w:t>
            </w:r>
          </w:p>
        </w:tc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Текущая отпускная цена за единицу измерения без НДС2, руб. в соответствии с графой 5</w:t>
            </w:r>
          </w:p>
        </w:tc>
        <w:tc>
          <w:tcPr>
            <w:tcW w:w="1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Затраты на перевозку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Заготовительно-складские расходы</w:t>
            </w: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Дополнительные затраты, предусмотренные пп. 88, 117, 119-121 Методики</w:t>
            </w:r>
          </w:p>
        </w:tc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йена без НДС, руб. за ед. измерения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Квартал</w:t>
            </w:r>
          </w:p>
        </w:tc>
        <w:tc>
          <w:tcPr>
            <w:tcW w:w="7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Полное и (или) сокращенное (при наличии) наименования производителя /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поставщика</w:t>
            </w:r>
          </w:p>
        </w:tc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Страна производителя оборудования\, производственного и хозяйственного инвентаря</w:t>
            </w:r>
          </w:p>
        </w:tc>
        <w:tc>
          <w:tcPr>
            <w:tcW w:w="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КПП организации</w:t>
            </w:r>
          </w:p>
        </w:tc>
        <w:tc>
          <w:tcPr>
            <w:tcW w:w="5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ИНН организации</w:t>
            </w:r>
          </w:p>
        </w:tc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Гиперссылка на веб-сайт производителя/поставщика</w:t>
            </w:r>
          </w:p>
        </w:tc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Населенный пункт расположения склада производителя/поставщика</w:t>
            </w:r>
          </w:p>
        </w:tc>
        <w:tc>
          <w:tcPr>
            <w:tcW w:w="6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Статус организации (производитель(1)/поставщик (2)</w:t>
            </w:r>
          </w:p>
        </w:tc>
      </w:tr>
      <w:tr>
        <w:trPr>
          <w:trHeight w:val="1657" w:hRule="atLeast"/>
        </w:trPr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 за ед. изм. без НДС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 за ед. изм. без НДС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затрат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 за ед. изм. без НДС</w:t>
            </w:r>
          </w:p>
        </w:tc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4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63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200" w:hRule="atLeast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18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22</w:t>
            </w:r>
          </w:p>
        </w:tc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23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25</w:t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26</w:t>
            </w:r>
          </w:p>
        </w:tc>
      </w:tr>
      <w:tr>
        <w:trPr>
          <w:trHeight w:val="362" w:hRule="atLeast"/>
        </w:trPr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Поставщик 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199" w:hRule="atLeast"/>
        </w:trPr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Поставщик 2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179" w:hRule="atLeast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Поставщик 3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179" w:hRule="atLeast"/>
        </w:trPr>
        <w:tc>
          <w:tcPr>
            <w:tcW w:w="13664" w:type="dxa"/>
            <w:gridSpan w:val="26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 ________________________________________________________________________</w:t>
            </w:r>
          </w:p>
        </w:tc>
        <w:tc>
          <w:tcPr>
            <w:tcW w:w="14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56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6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79" w:hRule="atLeast"/>
        </w:trPr>
        <w:tc>
          <w:tcPr>
            <w:tcW w:w="13664" w:type="dxa"/>
            <w:gridSpan w:val="26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</w:t>
            </w:r>
            <w:r>
              <w:rPr>
                <w:rFonts w:ascii="Times New Roman" w:hAnsi="Times New Roman"/>
              </w:rPr>
              <w:t>[должность, подпись (инициалы, фамилия)]</w:t>
            </w:r>
          </w:p>
        </w:tc>
        <w:tc>
          <w:tcPr>
            <w:tcW w:w="14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56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6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37" w:hRule="atLeast"/>
        </w:trPr>
        <w:tc>
          <w:tcPr>
            <w:tcW w:w="13664" w:type="dxa"/>
            <w:gridSpan w:val="26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Проверил:________________________________________________________________________+</w:t>
            </w:r>
          </w:p>
        </w:tc>
        <w:tc>
          <w:tcPr>
            <w:tcW w:w="14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56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6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63" w:hRule="atLeast"/>
        </w:trPr>
        <w:tc>
          <w:tcPr>
            <w:tcW w:w="13664" w:type="dxa"/>
            <w:gridSpan w:val="26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</w:t>
            </w:r>
            <w:r>
              <w:rPr>
                <w:rFonts w:ascii="Times New Roman" w:hAnsi="Times New Roman"/>
              </w:rPr>
              <w:t>[должность, подпись (инициалы, фамилия)]</w:t>
            </w:r>
          </w:p>
        </w:tc>
        <w:tc>
          <w:tcPr>
            <w:tcW w:w="14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56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6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79" w:hRule="atLeast"/>
        </w:trPr>
        <w:tc>
          <w:tcPr>
            <w:tcW w:w="13664" w:type="dxa"/>
            <w:gridSpan w:val="26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Примечание:</w:t>
            </w:r>
          </w:p>
        </w:tc>
        <w:tc>
          <w:tcPr>
            <w:tcW w:w="14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56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6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648" w:hRule="atLeast"/>
        </w:trPr>
        <w:tc>
          <w:tcPr>
            <w:tcW w:w="13664" w:type="dxa"/>
            <w:gridSpan w:val="26"/>
            <w:tcBorders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(при наличии) указывается для позиций материальных ресурсов и оборудования в соответствии с классификатором строительных ресурсов.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Анализу подлежат сопоставимые элементы стоимости материальных ресурсов (отпускные цены, сметные с учетом транспортных затрат), затрат.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случае если текущая отпускная цена за ед. изм. в обосновывающем документе указана с учетом доставки до приобъектного склада, то графа 9 не заполняется, а в графе 10 указывается значение, приведенное в графе 8.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Отдельные графы формы конъюнктурного анализа могут не заполняться для отдельных видов прочих затрат.</w:t>
            </w:r>
          </w:p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 отсутствии в обосновывающих стоимость материальных ресурсов, оборудования, работ и услуг документах производителей и (или) поставщиков отдельных сведений (ИНН, КПП и подобное), соответствующие графы формы конъюнктурного анализа заполняются на основании информации принятой из открытых и (или) официальных источников.</w:t>
            </w:r>
          </w:p>
        </w:tc>
        <w:tc>
          <w:tcPr>
            <w:tcW w:w="14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56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702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6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/>
      </w:r>
    </w:p>
    <w:sectPr>
      <w:footerReference w:type="default" r:id="rId14"/>
      <w:footerReference w:type="first" r:id="rId15"/>
      <w:footnotePr>
        <w:numFmt w:val="decimal"/>
        <w:numRestart w:val="eachPage"/>
      </w:footnotePr>
      <w:type w:val="nextPage"/>
      <w:pgSz w:orient="landscape" w:w="16838" w:h="11906"/>
      <w:pgMar w:left="993" w:right="962" w:gutter="0" w:header="0" w:top="1304" w:footer="709" w:bottom="92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Footer"/>
      <w:rPr/>
    </w:pPr>
    <w:r>
      <w:rPr/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20</w:t>
    </w:r>
    <w:r>
      <w:rPr/>
      <w:fldChar w:fldCharType="end"/>
    </w:r>
  </w:p>
  <w:p>
    <w:pPr>
      <w:pStyle w:val="Footer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23</w:t>
    </w:r>
    <w:r>
      <w:rPr/>
      <w:fldChar w:fldCharType="end"/>
    </w:r>
  </w:p>
  <w:p>
    <w:pPr>
      <w:pStyle w:val="Footer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12</w:t>
    </w:r>
    <w:r>
      <w:rPr/>
      <w:fldChar w:fldCharType="end"/>
    </w:r>
  </w:p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14</w:t>
    </w:r>
    <w:r>
      <w:rPr/>
      <w:fldChar w:fldCharType="end"/>
    </w:r>
  </w:p>
  <w:p>
    <w:pPr>
      <w:pStyle w:val="Footer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17</w:t>
    </w:r>
    <w:r>
      <w:rPr/>
      <w:fldChar w:fldCharType="end"/>
    </w:r>
  </w:p>
  <w:p>
    <w:pPr>
      <w:pStyle w:val="Footer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jc w:val="both"/>
        <w:rPr/>
      </w:pPr>
      <w:r>
        <w:rPr>
          <w:rStyle w:val="Style3"/>
        </w:rPr>
        <w:footnoteRef/>
      </w:r>
      <w:r>
        <w:rPr/>
      </w:r>
    </w:p>
  </w:footnote>
  <w:footnote w:id="3">
    <w:p>
      <w:pPr>
        <w:pStyle w:val="FootnoteText"/>
        <w:rPr/>
      </w:pPr>
      <w:r>
        <w:rPr>
          <w:rStyle w:val="Style3"/>
        </w:rPr>
        <w:footnoteRef/>
      </w:r>
      <w:r>
        <w:rPr/>
      </w:r>
    </w:p>
  </w:footnote>
  <w:footnote w:id="4">
    <w:p>
      <w:pPr>
        <w:pStyle w:val="FootnoteText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sz w:val="22"/>
        <w:i w:val="false"/>
        <w:u w:val="none"/>
        <w:b w:val="false"/>
        <w:szCs w:val="22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  <w:b w:val="fals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2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397"/>
        </w:tabs>
        <w:ind w:left="0" w:hanging="0"/>
      </w:pPr>
      <w:rPr>
        <w:i w:val="false"/>
        <w:b w:val="fals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 w:cs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19"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sz w:val="22"/>
        <w:i w:val="false"/>
        <w:u w:val="none"/>
        <w:b w:val="false"/>
        <w:szCs w:val="22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  <w:b w:val="fals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3"/>
  </w:num>
</w:numbering>
</file>

<file path=word/settings.xml><?xml version="1.0" encoding="utf-8"?>
<w:settings xmlns:w="http://schemas.openxmlformats.org/wordprocessingml/2006/main">
  <w:zoom w:percent="120"/>
  <w:trackRevisions/>
  <w:defaultTabStop w:val="709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" w:customStyle="1">
    <w:name w:val="Текст примечания Знак"/>
    <w:link w:val="Annotationtext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" w:customStyle="1">
    <w:name w:val="Текст выноски Знак"/>
    <w:link w:val="BalloonText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rsid w:val="00d4745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b4339d"/>
    <w:rPr/>
  </w:style>
  <w:style w:type="character" w:styleId="Apple-converted-space" w:customStyle="1">
    <w:name w:val="apple-converted-space"/>
    <w:basedOn w:val="DefaultParagraphFont"/>
    <w:qFormat/>
    <w:rsid w:val="00b4339d"/>
    <w:rPr/>
  </w:style>
  <w:style w:type="character" w:styleId="Style2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3" w:customStyle="1">
    <w:name w:val="Символ сноски"/>
    <w:uiPriority w:val="99"/>
    <w:unhideWhenUsed/>
    <w:qFormat/>
    <w:rsid w:val="0080406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" w:customStyle="1">
    <w:name w:val="Подпункт Знак1"/>
    <w:link w:val="Style24"/>
    <w:qFormat/>
    <w:locked/>
    <w:rsid w:val="00192f26"/>
    <w:rPr>
      <w:rFonts w:ascii="Times New Roman" w:hAnsi="Times New Roman"/>
      <w:b/>
      <w:sz w:val="28"/>
    </w:rPr>
  </w:style>
  <w:style w:type="character" w:styleId="Style4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5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1">
    <w:name w:val="line number1"/>
    <w:basedOn w:val="DefaultParagraphFont"/>
    <w:uiPriority w:val="99"/>
    <w:semiHidden/>
    <w:unhideWhenUsed/>
    <w:qFormat/>
    <w:rsid w:val="00ff6229"/>
    <w:rPr/>
  </w:style>
  <w:style w:type="character" w:styleId="Style6" w:customStyle="1">
    <w:name w:val="Схема документа Знак"/>
    <w:link w:val="DocumentMap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1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7" w:customStyle="1">
    <w:name w:val="Название Знак"/>
    <w:link w:val="15"/>
    <w:uiPriority w:val="10"/>
    <w:qFormat/>
    <w:rsid w:val="00bb18d9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8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Emphasis">
    <w:name w:val="Emphasis"/>
    <w:uiPriority w:val="20"/>
    <w:qFormat/>
    <w:rsid w:val="00bb18d9"/>
    <w:rPr>
      <w:i/>
      <w:iCs/>
    </w:rPr>
  </w:style>
  <w:style w:type="character" w:styleId="21" w:customStyle="1">
    <w:name w:val="Цитата 2 Знак"/>
    <w:link w:val="Quote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9" w:customStyle="1">
    <w:name w:val="Выделенная цитата Знак"/>
    <w:link w:val="IntenseQuote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0" w:customStyle="1">
    <w:name w:val="Электронная подпись Знак"/>
    <w:link w:val="E-mailSignatur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1" w:customStyle="1">
    <w:name w:val="Тема примечания Знак"/>
    <w:link w:val="Annotationsubject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2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rsid w:val="00b211e3"/>
    <w:rPr>
      <w:color w:val="954F72"/>
      <w:u w:val="single"/>
    </w:rPr>
  </w:style>
  <w:style w:type="character" w:styleId="Style13" w:customStyle="1">
    <w:name w:val="Абзац списка Знак"/>
    <w:link w:val="ListParagraph"/>
    <w:uiPriority w:val="34"/>
    <w:qFormat/>
    <w:rsid w:val="00253374"/>
    <w:rPr>
      <w:sz w:val="22"/>
      <w:szCs w:val="22"/>
    </w:rPr>
  </w:style>
  <w:style w:type="character" w:styleId="61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8"/>
    <w:qFormat/>
    <w:rsid w:val="006d08bc"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sid w:val="008d2ec1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170c47"/>
    <w:rPr>
      <w:rFonts w:ascii="Arial" w:hAnsi="Arial" w:cs="Arial"/>
    </w:rPr>
  </w:style>
  <w:style w:type="character" w:styleId="12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Style16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17" w:customStyle="1">
    <w:name w:val="Маркеры"/>
    <w:qFormat/>
    <w:rPr>
      <w:rFonts w:ascii="OpenSymbol" w:hAnsi="OpenSymbol" w:eastAsia="OpenSymbol" w:cs="OpenSymbol"/>
    </w:rPr>
  </w:style>
  <w:style w:type="character" w:styleId="LineNumber">
    <w:name w:val="Line Number"/>
    <w:rPr/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ListParagraph">
    <w:name w:val="List Paragraph"/>
    <w:basedOn w:val="Normal"/>
    <w:link w:val="Style13"/>
    <w:uiPriority w:val="34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1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0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1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2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3" w:customStyle="1">
    <w:name w:val="Пункт Знак"/>
    <w:basedOn w:val="Normal"/>
    <w:qFormat/>
    <w:rsid w:val="00112ebd"/>
    <w:pPr>
      <w:numPr>
        <w:ilvl w:val="1"/>
        <w:numId w:val="1"/>
      </w:num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4" w:customStyle="1">
    <w:name w:val="Подпункт"/>
    <w:basedOn w:val="Style23"/>
    <w:link w:val="1"/>
    <w:qFormat/>
    <w:rsid w:val="00b5006b"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25" w:customStyle="1">
    <w:name w:val="Подподпункт"/>
    <w:basedOn w:val="Style24"/>
    <w:qFormat/>
    <w:rsid w:val="00b5006b"/>
    <w:pPr>
      <w:numPr>
        <w:ilvl w:val="3"/>
      </w:num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6" w:customStyle="1">
    <w:name w:val="Подподподпункт"/>
    <w:basedOn w:val="Normal"/>
    <w:qFormat/>
    <w:rsid w:val="00112ebd"/>
    <w:pPr>
      <w:numPr>
        <w:ilvl w:val="4"/>
        <w:numId w:val="1"/>
      </w:num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3" w:customStyle="1">
    <w:name w:val="Пункт1"/>
    <w:basedOn w:val="Normal"/>
    <w:qFormat/>
    <w:rsid w:val="00b5006b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112ebd"/>
    <w:pPr>
      <w:tabs>
        <w:tab w:val="clear" w:pos="709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17e73"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87d05"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2"/>
    <w:uiPriority w:val="99"/>
    <w:unhideWhenUsed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192f2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Style27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28" w:customStyle="1">
    <w:name w:val="Колонтитул"/>
    <w:basedOn w:val="Normal"/>
    <w:link w:val="Style14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Style4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5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6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9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1" w:customStyle="1">
    <w:name w:val="caption11"/>
    <w:basedOn w:val="Normal"/>
    <w:next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5" w:customStyle="1">
    <w:name w:val="Название1"/>
    <w:basedOn w:val="Normal"/>
    <w:next w:val="Normal"/>
    <w:link w:val="Style7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8"/>
    <w:uiPriority w:val="11"/>
    <w:qFormat/>
    <w:rsid w:val="00bb18d9"/>
    <w:pPr>
      <w:numPr>
        <w:ilvl w:val="1"/>
      </w:num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9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8"/>
    <w:pPr/>
    <w:rPr/>
  </w:style>
  <w:style w:type="paragraph" w:styleId="TOCHeading">
    <w:name w:val="TOC Heading"/>
    <w:basedOn w:val="Heading1"/>
    <w:next w:val="Normal"/>
    <w:uiPriority w:val="39"/>
    <w:qFormat/>
    <w:rsid w:val="00bb18d9"/>
    <w:pPr>
      <w:outlineLvl w:val="9"/>
    </w:pPr>
    <w:rPr/>
  </w:style>
  <w:style w:type="paragraph" w:styleId="E-mailSignature">
    <w:name w:val="E-mail Signature"/>
    <w:basedOn w:val="Normal"/>
    <w:link w:val="Style10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30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1"/>
    <w:semiHidden/>
    <w:qFormat/>
    <w:rsid w:val="00bb18d9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bb18d9"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b5006b"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bb18d9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1" w:customStyle="1">
    <w:name w:val="Пункт"/>
    <w:basedOn w:val="Normal"/>
    <w:qFormat/>
    <w:rsid w:val="00bb18d9"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2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2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numPr>
        <w:ilvl w:val="0"/>
        <w:numId w:val="17"/>
      </w:num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Style33" w:customStyle="1">
    <w:name w:val="РГ_номер текста табл"/>
    <w:basedOn w:val="ListParagraph"/>
    <w:qFormat/>
    <w:rsid w:val="009c4246"/>
    <w:pPr>
      <w:numPr>
        <w:ilvl w:val="0"/>
        <w:numId w:val="18"/>
      </w:numPr>
      <w:spacing w:lineRule="auto" w:line="240" w:before="0" w:after="0"/>
      <w:contextualSpacing/>
      <w:jc w:val="both"/>
    </w:pPr>
    <w:rPr>
      <w:rFonts w:ascii="Times New Roman" w:hAnsi="Times New Roman" w:eastAsia="Calibri"/>
      <w:lang w:eastAsia="en-US"/>
    </w:rPr>
  </w:style>
  <w:style w:type="paragraph" w:styleId="111" w:customStyle="1">
    <w:name w:val="1.1. таблица"/>
    <w:basedOn w:val="Style33"/>
    <w:qFormat/>
    <w:rsid w:val="009c4246"/>
    <w:pPr>
      <w:numPr>
        <w:ilvl w:val="1"/>
      </w:numPr>
      <w:tabs>
        <w:tab w:val="clear" w:pos="709"/>
        <w:tab w:val="left" w:pos="1844" w:leader="none"/>
      </w:tabs>
      <w:ind w:left="1844" w:hanging="567"/>
    </w:pPr>
    <w:rPr/>
  </w:style>
  <w:style w:type="paragraph" w:styleId="Style34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5" w:customStyle="1">
    <w:name w:val="Заголовок таблицы"/>
    <w:basedOn w:val="Style34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6" w:customStyle="1">
    <w:name w:val="Нет списка1"/>
    <w:uiPriority w:val="99"/>
    <w:semiHidden/>
    <w:unhideWhenUsed/>
    <w:qFormat/>
    <w:rsid w:val="00fc3c79"/>
  </w:style>
  <w:style w:type="numbering" w:styleId="15866852441" w:customStyle="1">
    <w:name w:val="15866852441"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7">
    <w:name w:val="Table Grid"/>
    <w:basedOn w:val="a6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">
    <w:name w:val="Сетка таблицы1"/>
    <w:basedOn w:val="a6"/>
    <w:uiPriority w:val="39"/>
    <w:rsid w:val="00fc3c7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oter" Target="footer4.xml"/><Relationship Id="rId7" Type="http://schemas.openxmlformats.org/officeDocument/2006/relationships/footer" Target="footer5.xml"/><Relationship Id="rId8" Type="http://schemas.openxmlformats.org/officeDocument/2006/relationships/footer" Target="footer6.xml"/><Relationship Id="rId9" Type="http://schemas.openxmlformats.org/officeDocument/2006/relationships/footer" Target="footer7.xml"/><Relationship Id="rId10" Type="http://schemas.openxmlformats.org/officeDocument/2006/relationships/footer" Target="footer8.xml"/><Relationship Id="rId11" Type="http://schemas.openxmlformats.org/officeDocument/2006/relationships/footer" Target="footer9.xml"/><Relationship Id="rId12" Type="http://schemas.openxmlformats.org/officeDocument/2006/relationships/footer" Target="footer10.xml"/><Relationship Id="rId13" Type="http://schemas.openxmlformats.org/officeDocument/2006/relationships/footer" Target="footer11.xml"/><Relationship Id="rId14" Type="http://schemas.openxmlformats.org/officeDocument/2006/relationships/footer" Target="footer12.xml"/><Relationship Id="rId15" Type="http://schemas.openxmlformats.org/officeDocument/2006/relationships/footer" Target="footer13.xml"/><Relationship Id="rId16" Type="http://schemas.openxmlformats.org/officeDocument/2006/relationships/footnotes" Target="footnotes.xml"/><Relationship Id="rId17" Type="http://schemas.openxmlformats.org/officeDocument/2006/relationships/numbering" Target="numbering.xml"/><Relationship Id="rId18" Type="http://schemas.openxmlformats.org/officeDocument/2006/relationships/fontTable" Target="fontTable.xml"/><Relationship Id="rId19" Type="http://schemas.openxmlformats.org/officeDocument/2006/relationships/settings" Target="settings.xml"/><Relationship Id="rId20" Type="http://schemas.openxmlformats.org/officeDocument/2006/relationships/theme" Target="theme/theme1.xml"/><Relationship Id="rId2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E3EC0-87D4-4BC4-8DC7-DB911E804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AlterOffice/3.4.0.9$Linux_X86_64 LibreOffice_project/b8daf9e823b1a5463a2f48435ddc2e8696e7d4fc</Application>
  <AppVersion>15.0000</AppVersion>
  <Pages>23</Pages>
  <Words>4527</Words>
  <Characters>30941</Characters>
  <CharactersWithSpaces>36441</CharactersWithSpaces>
  <Paragraphs>578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2026-02-18T06:38:00Z</dcterms:created>
  <dc:creator>Торопов Денис Владимирович</dc:creator>
  <dc:description/>
  <dc:language>ru-RU</dc:language>
  <cp:lastModifiedBy>kuzminav@corp.gidroogk.com</cp:lastModifiedBy>
  <cp:lastPrinted>2021-07-09T09:18:00Z</cp:lastPrinted>
  <dcterms:modified xsi:type="dcterms:W3CDTF">2026-04-20T17:03:28Z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